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05"/>
        </w:tabs>
        <w:spacing w:line="400" w:lineRule="exact"/>
        <w:jc w:val="center"/>
        <w:rPr>
          <w:rFonts w:asciiTheme="majorEastAsia" w:hAnsiTheme="majorEastAsia" w:eastAsiaTheme="majorEastAsia" w:cstheme="majorEastAsia"/>
          <w:b/>
          <w:bCs/>
          <w:sz w:val="32"/>
        </w:rPr>
      </w:pPr>
      <w:bookmarkStart w:id="2" w:name="_GoBack"/>
      <w:bookmarkEnd w:id="2"/>
      <w:r>
        <w:rPr>
          <w:rFonts w:hint="eastAsia" w:asciiTheme="majorEastAsia" w:hAnsiTheme="majorEastAsia" w:eastAsiaTheme="majorEastAsia" w:cstheme="majorEastAsia"/>
          <w:b/>
          <w:bCs/>
          <w:sz w:val="32"/>
        </w:rPr>
        <w:t>《</w:t>
      </w:r>
      <w:r>
        <w:rPr>
          <w:rFonts w:hint="eastAsia"/>
          <w:b/>
          <w:sz w:val="32"/>
          <w:szCs w:val="32"/>
        </w:rPr>
        <w:t>习近平新时代中国特色社会主义思想概论</w:t>
      </w:r>
      <w:r>
        <w:rPr>
          <w:rFonts w:hint="eastAsia" w:asciiTheme="majorEastAsia" w:hAnsiTheme="majorEastAsia" w:eastAsiaTheme="majorEastAsia" w:cstheme="majorEastAsia"/>
          <w:b/>
          <w:bCs/>
          <w:sz w:val="32"/>
        </w:rPr>
        <w:t>》</w:t>
      </w:r>
    </w:p>
    <w:p>
      <w:pPr>
        <w:tabs>
          <w:tab w:val="left" w:pos="705"/>
        </w:tabs>
        <w:spacing w:line="400" w:lineRule="exact"/>
        <w:jc w:val="center"/>
        <w:rPr>
          <w:rFonts w:asciiTheme="majorEastAsia" w:hAnsiTheme="majorEastAsia" w:eastAsiaTheme="majorEastAsia" w:cstheme="majorEastAsia"/>
          <w:b/>
          <w:bCs/>
          <w:sz w:val="32"/>
        </w:rPr>
      </w:pPr>
      <w:r>
        <w:rPr>
          <w:rFonts w:hint="eastAsia" w:asciiTheme="majorEastAsia" w:hAnsiTheme="majorEastAsia" w:eastAsiaTheme="majorEastAsia" w:cstheme="majorEastAsia"/>
          <w:b/>
          <w:bCs/>
          <w:sz w:val="32"/>
        </w:rPr>
        <w:t>课程教学大纲</w:t>
      </w:r>
    </w:p>
    <w:p>
      <w:pPr>
        <w:tabs>
          <w:tab w:val="left" w:pos="705"/>
        </w:tabs>
        <w:spacing w:line="400" w:lineRule="exact"/>
        <w:jc w:val="center"/>
        <w:rPr>
          <w:rFonts w:asciiTheme="majorEastAsia" w:hAnsiTheme="majorEastAsia" w:eastAsiaTheme="majorEastAsia" w:cstheme="majorEastAsia"/>
          <w:b/>
          <w:bCs/>
          <w:sz w:val="32"/>
        </w:rPr>
      </w:pPr>
    </w:p>
    <w:tbl>
      <w:tblPr>
        <w:tblStyle w:val="11"/>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4"/>
        <w:gridCol w:w="284"/>
        <w:gridCol w:w="56"/>
        <w:gridCol w:w="824"/>
        <w:gridCol w:w="649"/>
        <w:gridCol w:w="515"/>
        <w:gridCol w:w="902"/>
        <w:gridCol w:w="262"/>
        <w:gridCol w:w="1014"/>
        <w:gridCol w:w="150"/>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课程名称</w:t>
            </w:r>
          </w:p>
        </w:tc>
        <w:tc>
          <w:tcPr>
            <w:tcW w:w="1504"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中文</w:t>
            </w:r>
          </w:p>
        </w:tc>
        <w:tc>
          <w:tcPr>
            <w:tcW w:w="5485" w:type="dxa"/>
            <w:gridSpan w:val="8"/>
            <w:tcBorders>
              <w:top w:val="single" w:color="auto" w:sz="8" w:space="0"/>
              <w:left w:val="single" w:color="auto" w:sz="4" w:space="0"/>
              <w:bottom w:val="single" w:color="auto" w:sz="4" w:space="0"/>
              <w:right w:val="single" w:color="auto" w:sz="8" w:space="0"/>
            </w:tcBorders>
            <w:vAlign w:val="center"/>
          </w:tcPr>
          <w:p>
            <w:pPr>
              <w:adjustRightInd w:val="0"/>
              <w:snapToGrid w:val="0"/>
              <w:spacing w:line="420" w:lineRule="exact"/>
            </w:pPr>
            <w:r>
              <w:rPr>
                <w:rFonts w:hint="eastAsia"/>
              </w:rPr>
              <w:t>习近平新时代中国特色社会主义思想概论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b/>
                <w:szCs w:val="21"/>
              </w:rPr>
            </w:pP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英文</w:t>
            </w:r>
          </w:p>
        </w:tc>
        <w:tc>
          <w:tcPr>
            <w:tcW w:w="5485" w:type="dxa"/>
            <w:gridSpan w:val="8"/>
            <w:tcBorders>
              <w:top w:val="single" w:color="auto" w:sz="4" w:space="0"/>
              <w:left w:val="single" w:color="auto" w:sz="4" w:space="0"/>
              <w:bottom w:val="single" w:color="auto" w:sz="4" w:space="0"/>
              <w:right w:val="single" w:color="auto" w:sz="8" w:space="0"/>
            </w:tcBorders>
            <w:vAlign w:val="center"/>
          </w:tcPr>
          <w:p>
            <w:pPr>
              <w:adjustRightInd w:val="0"/>
              <w:snapToGrid w:val="0"/>
              <w:spacing w:line="420" w:lineRule="exact"/>
            </w:pPr>
            <w:r>
              <w:rPr>
                <w:rFonts w:ascii="Times New Roman" w:hAnsi="Times New Roman" w:eastAsia="宋体" w:cs="Times New Roman"/>
                <w:color w:val="000000"/>
                <w:sz w:val="24"/>
              </w:rPr>
              <w:t>General Introduction to Xi Jinping Thought on Socialism with Chinese Characteristics for a New Era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课程代码</w:t>
            </w:r>
          </w:p>
        </w:tc>
        <w:tc>
          <w:tcPr>
            <w:tcW w:w="150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szCs w:val="21"/>
              </w:rPr>
            </w:pPr>
            <w:r>
              <w:rPr>
                <w:rFonts w:hint="eastAsia" w:ascii="宋体" w:hAnsi="宋体" w:eastAsia="宋体" w:cs="宋体"/>
                <w:b/>
                <w:szCs w:val="21"/>
              </w:rPr>
              <w:t>A170018</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开课学院/系</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kern w:val="0"/>
                <w:szCs w:val="21"/>
              </w:rPr>
            </w:pPr>
            <w:r>
              <w:rPr>
                <w:rFonts w:hint="eastAsia" w:ascii="宋体" w:hAnsi="宋体" w:eastAsia="宋体" w:cs="宋体"/>
                <w:b/>
                <w:kern w:val="0"/>
                <w:szCs w:val="21"/>
              </w:rPr>
              <w:t>马克思主义学院</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制定/修订</w:t>
            </w:r>
          </w:p>
          <w:p>
            <w:pPr>
              <w:jc w:val="center"/>
              <w:rPr>
                <w:rFonts w:ascii="宋体" w:hAnsi="宋体" w:eastAsia="宋体" w:cs="宋体"/>
                <w:b/>
                <w:szCs w:val="21"/>
              </w:rPr>
            </w:pPr>
            <w:r>
              <w:rPr>
                <w:rFonts w:hint="eastAsia" w:ascii="宋体" w:hAnsi="宋体" w:eastAsia="宋体" w:cs="宋体"/>
                <w:b/>
                <w:szCs w:val="21"/>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szCs w:val="21"/>
              </w:rPr>
            </w:pPr>
            <w:r>
              <w:rPr>
                <w:rFonts w:hint="eastAsia" w:ascii="宋体" w:hAnsi="宋体" w:eastAsia="宋体" w:cs="宋体"/>
                <w:b/>
                <w:szCs w:val="21"/>
              </w:rPr>
              <w:t>2024.2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课程类别</w:t>
            </w:r>
          </w:p>
        </w:tc>
        <w:tc>
          <w:tcPr>
            <w:tcW w:w="1504"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eastAsia="宋体" w:cs="宋体"/>
                <w:b/>
                <w:kern w:val="0"/>
                <w:szCs w:val="21"/>
              </w:rPr>
            </w:pPr>
            <w:r>
              <w:rPr>
                <w:rFonts w:hint="eastAsia"/>
                <w:sz w:val="18"/>
                <w:szCs w:val="18"/>
              </w:rPr>
              <w:t>通识教育必修课</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学分</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kern w:val="0"/>
                <w:szCs w:val="21"/>
              </w:rPr>
            </w:pPr>
            <w:r>
              <w:rPr>
                <w:rFonts w:ascii="宋体" w:hAnsi="宋体" w:eastAsia="宋体" w:cs="宋体"/>
                <w:b/>
                <w:kern w:val="0"/>
                <w:szCs w:val="21"/>
              </w:rPr>
              <w:t>3</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szCs w:val="21"/>
              </w:rPr>
            </w:pPr>
            <w:r>
              <w:rPr>
                <w:rFonts w:ascii="宋体" w:hAnsi="宋体" w:eastAsia="宋体" w:cs="宋体"/>
                <w:b/>
                <w:szCs w:val="21"/>
              </w:rPr>
              <w:t>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adjustRightInd w:val="0"/>
              <w:snapToGrid w:val="0"/>
              <w:spacing w:line="420" w:lineRule="exact"/>
            </w:pPr>
            <w:r>
              <w:rPr>
                <w:rFonts w:hint="eastAsia"/>
              </w:rPr>
              <w:t>全校本科各专业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adjustRightInd w:val="0"/>
              <w:snapToGrid w:val="0"/>
              <w:spacing w:line="420" w:lineRule="exact"/>
            </w:pPr>
            <w:r>
              <w:rPr>
                <w:rFonts w:hint="eastAsia"/>
                <w:lang w:eastAsia="zh-CN"/>
              </w:rPr>
              <w:t>《</w:t>
            </w:r>
            <w:r>
              <w:rPr>
                <w:rFonts w:hint="eastAsia"/>
              </w:rPr>
              <w:t>思想道德修养与</w:t>
            </w:r>
            <w:r>
              <w:rPr>
                <w:rFonts w:hint="eastAsia"/>
                <w:lang w:eastAsia="zh-CN"/>
              </w:rPr>
              <w:t>法治》</w:t>
            </w:r>
            <w:r>
              <w:rPr>
                <w:rFonts w:hint="eastAsia"/>
              </w:rPr>
              <w:t xml:space="preserve"> </w:t>
            </w:r>
            <w:r>
              <w:rPr>
                <w:rFonts w:hint="eastAsia"/>
                <w:lang w:eastAsia="zh-CN"/>
              </w:rPr>
              <w:t>《中国近现代史纲要》《</w:t>
            </w:r>
            <w:r>
              <w:rPr>
                <w:rFonts w:hint="eastAsia"/>
              </w:rPr>
              <w:t>毛泽东思想和中国特色社会主义理论体系概论</w:t>
            </w:r>
            <w:r>
              <w:rPr>
                <w:rFonts w:hint="eastAsia"/>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rPr>
              <w:t>本书编写组.习近平新时代中国特色社会主义思想概论 （20</w:t>
            </w:r>
            <w:r>
              <w:t>23</w:t>
            </w:r>
            <w:r>
              <w:rPr>
                <w:rFonts w:hint="eastAsia"/>
              </w:rPr>
              <w:t>年版）.北京：高等教育出版社，20</w:t>
            </w:r>
            <w:r>
              <w:t>23</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课时分配</w:t>
            </w:r>
          </w:p>
        </w:tc>
        <w:tc>
          <w:tcPr>
            <w:tcW w:w="1164"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rPr>
              <w:t>4</w:t>
            </w:r>
            <w:r>
              <w:t>0</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实践（其他）学时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t>8</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t>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撰写人</w:t>
            </w:r>
          </w:p>
        </w:tc>
        <w:tc>
          <w:tcPr>
            <w:tcW w:w="1448"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kern w:val="0"/>
                <w:szCs w:val="21"/>
              </w:rPr>
            </w:pPr>
            <w:r>
              <w:rPr>
                <w:rFonts w:hint="eastAsia" w:eastAsia="宋体"/>
              </w:rPr>
              <w:t>教研室</w:t>
            </w:r>
          </w:p>
        </w:tc>
        <w:tc>
          <w:tcPr>
            <w:tcW w:w="1529"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审定人</w:t>
            </w:r>
          </w:p>
        </w:tc>
        <w:tc>
          <w:tcPr>
            <w:tcW w:w="1417"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kern w:val="0"/>
                <w:szCs w:val="21"/>
              </w:rPr>
            </w:pPr>
            <w:r>
              <w:rPr>
                <w:rFonts w:hint="eastAsia"/>
              </w:rPr>
              <w:t>潘格格</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b/>
                <w:kern w:val="0"/>
                <w:szCs w:val="21"/>
              </w:rPr>
            </w:pPr>
            <w:r>
              <w:rPr>
                <w:rFonts w:ascii="宋体" w:hAnsi="宋体" w:eastAsia="宋体" w:cs="宋体"/>
                <w:bCs/>
                <w:kern w:val="0"/>
                <w:szCs w:val="21"/>
              </w:rPr>
              <w:t>刘小刚</w:t>
            </w:r>
          </w:p>
        </w:tc>
      </w:tr>
    </w:tbl>
    <w:p>
      <w:pPr>
        <w:adjustRightInd w:val="0"/>
        <w:snapToGrid w:val="0"/>
        <w:spacing w:line="420" w:lineRule="exact"/>
        <w:rPr>
          <w:rFonts w:asciiTheme="majorEastAsia" w:hAnsiTheme="majorEastAsia" w:eastAsiaTheme="majorEastAsia" w:cstheme="majorEastAsia"/>
          <w:b/>
          <w:bCs/>
          <w:color w:val="000000"/>
          <w:kern w:val="0"/>
          <w:sz w:val="28"/>
          <w:szCs w:val="28"/>
        </w:rPr>
      </w:pPr>
    </w:p>
    <w:p>
      <w:pPr>
        <w:adjustRightInd w:val="0"/>
        <w:snapToGrid w:val="0"/>
        <w:spacing w:line="420" w:lineRule="exact"/>
      </w:pPr>
      <w:r>
        <w:rPr>
          <w:rFonts w:hint="eastAsia" w:asciiTheme="majorEastAsia" w:hAnsiTheme="majorEastAsia" w:eastAsiaTheme="majorEastAsia" w:cstheme="majorEastAsia"/>
          <w:b/>
          <w:bCs/>
          <w:color w:val="000000"/>
          <w:kern w:val="0"/>
          <w:sz w:val="28"/>
          <w:szCs w:val="28"/>
        </w:rPr>
        <w:t>一、课程简介</w:t>
      </w:r>
    </w:p>
    <w:p>
      <w:pPr>
        <w:adjustRightInd w:val="0"/>
        <w:snapToGrid w:val="0"/>
        <w:spacing w:line="420" w:lineRule="exact"/>
        <w:ind w:firstLine="480" w:firstLineChars="200"/>
        <w:rPr>
          <w:rFonts w:ascii="宋体" w:hAnsi="宋体" w:eastAsia="宋体" w:cs="宋体"/>
          <w:sz w:val="24"/>
          <w:lang w:val="zh-TW" w:eastAsia="zh-TW"/>
        </w:rPr>
      </w:pPr>
      <w:r>
        <w:rPr>
          <w:rFonts w:hint="eastAsia" w:ascii="宋体" w:hAnsi="宋体" w:eastAsia="宋体" w:cs="宋体"/>
          <w:sz w:val="24"/>
          <w:lang w:val="zh-TW" w:eastAsia="zh-TW"/>
        </w:rPr>
        <w:t>党的十八大以来，以习近平同志为主要代表的中国共产党人，立足于世界百年未有之大变局和中华民族伟大复兴战略全局，坚持把马克思主义基本原理同中国具体实际相结合、同中华优秀传统文化相结合，在推进中华民族伟大复兴征程中，提出了一系列原创性的治国理政新理念新思想新战略，创立的习近平新时代中国特色社会主义思想是当代中国马克思主义、二十一世纪马克思主义，是中华文化和中国精神的时代精华，实现了马克思主义中国化时代化新的飞跃。</w:t>
      </w:r>
    </w:p>
    <w:p>
      <w:pPr>
        <w:adjustRightInd w:val="0"/>
        <w:snapToGrid w:val="0"/>
        <w:spacing w:line="420" w:lineRule="exact"/>
        <w:ind w:firstLine="480" w:firstLineChars="200"/>
        <w:rPr>
          <w:rFonts w:ascii="宋体" w:hAnsi="宋体" w:eastAsia="宋体" w:cs="宋体"/>
          <w:sz w:val="24"/>
          <w:lang w:val="zh-TW" w:eastAsia="zh-TW"/>
        </w:rPr>
      </w:pPr>
      <w:r>
        <w:rPr>
          <w:rFonts w:hint="eastAsia" w:ascii="宋体" w:hAnsi="宋体" w:eastAsia="宋体" w:cs="宋体"/>
          <w:sz w:val="24"/>
          <w:lang w:val="zh-TW" w:eastAsia="zh-TW"/>
        </w:rPr>
        <w:t>本课程属于思想政治理论课，是大学生必修的公共基础课。课程系统阐述马克思主义中国化时代化的新境界、中国式现代化的中国特色、本质要求、重大原则等基本问题，旨在帮助学生全面系统学习领会习近平新时代中国特色社会主义思想，使学生深刻领悟“两个确立”的决定性意义，全面提高学生的思想政治素质和中国化时代化马克思主义理论素养，着重培养学生的理论思维、创新思维，培养底色亮、实践强、善创新、敢担当的新时代好青年，为培养创新型高素质复合型人才打好理论基础。</w:t>
      </w:r>
    </w:p>
    <w:p>
      <w:pPr>
        <w:adjustRightInd w:val="0"/>
        <w:snapToGrid w:val="0"/>
        <w:spacing w:line="420" w:lineRule="exact"/>
        <w:ind w:firstLine="480" w:firstLineChars="200"/>
        <w:rPr>
          <w:rFonts w:ascii="宋体" w:hAnsi="宋体" w:eastAsia="宋体" w:cs="宋体"/>
          <w:sz w:val="24"/>
          <w:lang w:val="zh-TW" w:eastAsia="zh-TW"/>
        </w:rPr>
      </w:pPr>
    </w:p>
    <w:p>
      <w:pPr>
        <w:adjustRightInd w:val="0"/>
        <w:snapToGrid w:val="0"/>
        <w:spacing w:line="420" w:lineRule="exact"/>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二、课程目标</w:t>
      </w:r>
    </w:p>
    <w:p>
      <w:pPr>
        <w:pStyle w:val="9"/>
        <w:widowControl/>
        <w:spacing w:before="0" w:beforeAutospacing="0" w:after="0" w:afterAutospacing="0" w:line="440" w:lineRule="exact"/>
        <w:ind w:firstLine="482"/>
        <w:jc w:val="both"/>
        <w:rPr>
          <w:rFonts w:ascii="宋体" w:hAnsi="宋体" w:eastAsia="宋体" w:cs="宋体"/>
          <w:color w:val="000000"/>
          <w:kern w:val="2"/>
        </w:rPr>
      </w:pPr>
      <w:r>
        <w:rPr>
          <w:rFonts w:hint="eastAsia" w:ascii="宋体" w:hAnsi="宋体" w:eastAsia="宋体" w:cs="宋体"/>
          <w:color w:val="000000"/>
          <w:kern w:val="2"/>
        </w:rPr>
        <w:t>课程目标1：使学生系统地掌握习近平新时代中国特色社会主义思想的基本理论，能够掌握“十个明确”、“十四个坚持”的重要内容及内在逻辑；正确认识新时代的十三个方面的历史性成就、历史性变革；系统掌握“五位一体”总体布局和“四个全面”战略布局的重大理论和改革举措；明确我国发展新的历史方位、根本方向、根本立场，从根本上认识新时代坚持和发展中国特色社会主义的奋斗目标。</w:t>
      </w:r>
    </w:p>
    <w:p>
      <w:pPr>
        <w:pStyle w:val="9"/>
        <w:widowControl/>
        <w:spacing w:before="0" w:beforeAutospacing="0" w:after="0" w:afterAutospacing="0" w:line="440" w:lineRule="exact"/>
        <w:ind w:firstLine="482"/>
        <w:jc w:val="both"/>
        <w:rPr>
          <w:rFonts w:ascii="宋体" w:hAnsi="宋体" w:eastAsia="宋体" w:cs="宋体"/>
          <w:color w:val="000000"/>
          <w:kern w:val="2"/>
        </w:rPr>
      </w:pPr>
      <w:r>
        <w:rPr>
          <w:rFonts w:hint="eastAsia" w:ascii="宋体" w:hAnsi="宋体" w:eastAsia="宋体" w:cs="宋体"/>
          <w:color w:val="000000"/>
          <w:kern w:val="2"/>
        </w:rPr>
        <w:t>课程目标2：能够坚持马克思主义的基本立场，能够运用马克思主义中国化时代化的理论方法，运用党的路线、方针、政策来认识和分析社会现实问题，不断增强学生的理论思维能力与创新能力；引导学生在学习科学知识、培育科学精神、掌握思维方法过程中体悟习近平新时代中国特色社会主义思想的真理力量。</w:t>
      </w:r>
    </w:p>
    <w:p>
      <w:pPr>
        <w:adjustRightInd w:val="0"/>
        <w:snapToGrid w:val="0"/>
        <w:spacing w:line="420" w:lineRule="exact"/>
        <w:ind w:firstLine="480" w:firstLineChars="200"/>
        <w:rPr>
          <w:rFonts w:ascii="宋体" w:hAnsi="宋体" w:eastAsia="宋体" w:cs="宋体e眠副浡渀."/>
          <w:color w:val="000000"/>
          <w:kern w:val="0"/>
          <w:sz w:val="24"/>
          <w:lang w:val="zh-TW" w:eastAsia="zh-TW"/>
        </w:rPr>
      </w:pPr>
      <w:r>
        <w:rPr>
          <w:rFonts w:hint="eastAsia" w:ascii="宋体" w:hAnsi="宋体" w:eastAsia="宋体" w:cs="宋体"/>
          <w:color w:val="000000"/>
          <w:sz w:val="24"/>
        </w:rPr>
        <w:t>课程目标3：引导大学生增强坚定“四个自信”，做到“两个维护”，坚定不移听党话、跟党走，以理论清醒保持政治坚定、以理论认同筑牢信念根基、以理论素养厚培实践本领、以理论自信鼓足奋斗精神，自觉做习近平新时代中国特色社会主义思想的坚定信仰者、积极传播者、忠实实践者，争做堪当民族复兴重任的时代新人。</w:t>
      </w:r>
    </w:p>
    <w:p>
      <w:pPr>
        <w:adjustRightInd w:val="0"/>
        <w:snapToGrid w:val="0"/>
        <w:spacing w:line="420" w:lineRule="exact"/>
        <w:ind w:firstLine="480" w:firstLineChars="200"/>
        <w:rPr>
          <w:rFonts w:ascii="宋体" w:hAnsi="宋体" w:eastAsia="宋体" w:cs="宋体e眠副浡渀."/>
          <w:color w:val="000000"/>
          <w:kern w:val="0"/>
          <w:sz w:val="24"/>
          <w:lang w:val="zh-TW" w:eastAsia="zh-TW"/>
        </w:rPr>
      </w:pPr>
    </w:p>
    <w:p>
      <w:pPr>
        <w:pStyle w:val="18"/>
        <w:spacing w:line="420" w:lineRule="exact"/>
        <w:rPr>
          <w:rFonts w:hAnsi="黑体"/>
        </w:rPr>
      </w:pPr>
      <w:r>
        <w:rPr>
          <w:rFonts w:hint="eastAsia" w:asciiTheme="majorEastAsia" w:hAnsiTheme="majorEastAsia" w:eastAsiaTheme="majorEastAsia" w:cstheme="majorEastAsia"/>
          <w:b/>
          <w:bCs/>
          <w:sz w:val="28"/>
          <w:szCs w:val="28"/>
        </w:rPr>
        <w:t>三、课程教学内容</w:t>
      </w:r>
    </w:p>
    <w:p>
      <w:pPr>
        <w:pStyle w:val="18"/>
        <w:spacing w:line="420" w:lineRule="exact"/>
        <w:ind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（一）理论教学部分</w:t>
      </w:r>
    </w:p>
    <w:p>
      <w:pPr>
        <w:adjustRightInd w:val="0"/>
        <w:snapToGrid w:val="0"/>
        <w:spacing w:line="420" w:lineRule="exact"/>
        <w:ind w:firstLine="482" w:firstLineChars="200"/>
        <w:rPr>
          <w:rFonts w:ascii="宋体" w:hAnsi="宋体" w:eastAsia="宋体" w:cs="宋体e眠副浡渀."/>
          <w:b/>
          <w:bCs/>
          <w:color w:val="000000"/>
          <w:kern w:val="0"/>
          <w:sz w:val="24"/>
          <w:lang w:val="zh-TW"/>
        </w:rPr>
      </w:pPr>
      <w:r>
        <w:rPr>
          <w:rFonts w:hint="eastAsia" w:ascii="宋体" w:hAnsi="宋体" w:eastAsia="宋体" w:cs="宋体e眠副浡渀."/>
          <w:b/>
          <w:bCs/>
          <w:color w:val="000000"/>
          <w:kern w:val="0"/>
          <w:sz w:val="24"/>
          <w:lang w:val="zh-TW"/>
        </w:rPr>
        <w:t>内容1:习近平新时代中国特色社会主义思想主题</w:t>
      </w:r>
    </w:p>
    <w:p>
      <w:pPr>
        <w:widowControl/>
        <w:spacing w:beforeLines="50" w:afterLines="50" w:line="400" w:lineRule="exact"/>
        <w:ind w:firstLine="645" w:firstLineChars="247"/>
        <w:jc w:val="left"/>
        <w:rPr>
          <w:rFonts w:ascii="宋体" w:hAnsi="宋体" w:eastAsia="宋体" w:cs="宋体"/>
          <w:bCs/>
          <w:spacing w:val="10"/>
          <w:kern w:val="0"/>
          <w:sz w:val="24"/>
        </w:rPr>
      </w:pPr>
      <w:r>
        <w:rPr>
          <w:rFonts w:hint="eastAsia" w:ascii="宋体" w:hAnsi="宋体" w:eastAsia="宋体" w:cs="宋体"/>
          <w:b/>
          <w:spacing w:val="10"/>
          <w:kern w:val="0"/>
          <w:sz w:val="24"/>
        </w:rPr>
        <w:t>1.基本内容：</w:t>
      </w:r>
      <w:r>
        <w:rPr>
          <w:rFonts w:hint="eastAsia" w:ascii="宋体" w:hAnsi="宋体" w:eastAsia="宋体" w:cs="宋体"/>
          <w:color w:val="000000"/>
          <w:sz w:val="24"/>
        </w:rPr>
        <w:t>新思想实现新飞跃必然性是什么；新思想实现了什么样的新飞跃；如何践行新思想。</w:t>
      </w:r>
    </w:p>
    <w:p>
      <w:pPr>
        <w:widowControl/>
        <w:spacing w:beforeLines="50" w:afterLines="50" w:line="400" w:lineRule="exact"/>
        <w:ind w:firstLine="645" w:firstLineChars="247"/>
        <w:jc w:val="left"/>
        <w:rPr>
          <w:rFonts w:ascii="宋体" w:hAnsi="宋体" w:eastAsia="宋体" w:cs="宋体"/>
          <w:color w:val="000000"/>
          <w:sz w:val="24"/>
        </w:rPr>
      </w:pPr>
      <w:r>
        <w:rPr>
          <w:rFonts w:hint="eastAsia" w:ascii="宋体" w:hAnsi="宋体" w:eastAsia="宋体" w:cs="宋体"/>
          <w:b/>
          <w:spacing w:val="10"/>
          <w:kern w:val="0"/>
          <w:sz w:val="24"/>
        </w:rPr>
        <w:t>2.基本要求：</w:t>
      </w:r>
      <w:r>
        <w:rPr>
          <w:rFonts w:hint="eastAsia" w:ascii="宋体" w:hAnsi="宋体" w:eastAsia="宋体" w:cs="宋体"/>
          <w:color w:val="000000"/>
          <w:sz w:val="24"/>
        </w:rPr>
        <w:t>从时代背景、“两个结合”角度理解“新思想实现新飞跃必然性”；从科学体系、历史地位角度理解“新思想实现了什么样的新飞跃”。</w:t>
      </w:r>
    </w:p>
    <w:p>
      <w:pPr>
        <w:widowControl/>
        <w:spacing w:beforeLines="50" w:afterLines="50" w:line="400" w:lineRule="exact"/>
        <w:ind w:firstLine="645" w:firstLineChars="247"/>
        <w:jc w:val="left"/>
        <w:rPr>
          <w:rFonts w:ascii="宋体" w:hAnsi="宋体" w:eastAsia="宋体" w:cs="宋体"/>
          <w:color w:val="000000"/>
          <w:sz w:val="24"/>
        </w:rPr>
      </w:pPr>
      <w:r>
        <w:rPr>
          <w:rFonts w:hint="eastAsia" w:ascii="宋体" w:hAnsi="宋体" w:eastAsia="宋体" w:cs="宋体"/>
          <w:b/>
          <w:spacing w:val="10"/>
          <w:kern w:val="0"/>
          <w:sz w:val="24"/>
        </w:rPr>
        <w:t>3.重点：</w:t>
      </w:r>
      <w:r>
        <w:rPr>
          <w:rFonts w:hint="eastAsia" w:ascii="宋体" w:hAnsi="宋体" w:eastAsia="宋体" w:cs="宋体"/>
          <w:color w:val="000000"/>
          <w:sz w:val="24"/>
        </w:rPr>
        <w:t>新思想的科学体系和主要内容；新思想是“两个结合”重大成果。</w:t>
      </w:r>
    </w:p>
    <w:p>
      <w:pPr>
        <w:widowControl/>
        <w:spacing w:beforeLines="50" w:afterLines="50" w:line="400" w:lineRule="exact"/>
        <w:ind w:firstLine="645" w:firstLineChars="247"/>
        <w:jc w:val="left"/>
        <w:rPr>
          <w:rFonts w:ascii="宋体" w:hAnsi="宋体" w:eastAsia="宋体" w:cs="宋体"/>
          <w:color w:val="000000"/>
          <w:sz w:val="24"/>
        </w:rPr>
      </w:pPr>
      <w:r>
        <w:rPr>
          <w:rFonts w:hint="eastAsia" w:ascii="宋体" w:hAnsi="宋体" w:eastAsia="宋体" w:cs="宋体"/>
          <w:b/>
          <w:spacing w:val="10"/>
          <w:kern w:val="0"/>
          <w:sz w:val="24"/>
        </w:rPr>
        <w:t>4.难点：</w:t>
      </w:r>
      <w:r>
        <w:rPr>
          <w:rFonts w:hint="eastAsia" w:ascii="宋体" w:hAnsi="宋体" w:eastAsia="宋体" w:cs="宋体"/>
          <w:color w:val="000000"/>
          <w:sz w:val="24"/>
        </w:rPr>
        <w:t>深刻领悟“两个确立”决定性意义。</w:t>
      </w:r>
    </w:p>
    <w:p>
      <w:pPr>
        <w:adjustRightInd w:val="0"/>
        <w:snapToGrid w:val="0"/>
        <w:spacing w:line="420" w:lineRule="exact"/>
        <w:ind w:firstLine="482" w:firstLineChars="200"/>
        <w:rPr>
          <w:rFonts w:ascii="宋体" w:hAnsi="宋体" w:eastAsia="宋体" w:cs="宋体e眠副浡渀."/>
          <w:b/>
          <w:bCs/>
          <w:color w:val="000000"/>
          <w:kern w:val="0"/>
          <w:sz w:val="24"/>
          <w:lang w:val="zh-TW"/>
        </w:rPr>
      </w:pPr>
      <w:r>
        <w:rPr>
          <w:rFonts w:hint="eastAsia" w:ascii="宋体" w:hAnsi="宋体" w:eastAsia="宋体" w:cs="宋体e眠副浡渀."/>
          <w:b/>
          <w:bCs/>
          <w:color w:val="000000"/>
          <w:kern w:val="0"/>
          <w:sz w:val="24"/>
          <w:lang w:val="zh-TW"/>
        </w:rPr>
        <w:t>内容2：新时代坚持和发展中国特色社会主义</w:t>
      </w:r>
    </w:p>
    <w:p>
      <w:pPr>
        <w:widowControl/>
        <w:spacing w:beforeLines="50" w:afterLines="50" w:line="400" w:lineRule="exact"/>
        <w:ind w:firstLine="645" w:firstLineChars="247"/>
        <w:jc w:val="left"/>
        <w:rPr>
          <w:rFonts w:ascii="宋体" w:hAnsi="宋体" w:eastAsia="宋体" w:cs="宋体"/>
          <w:color w:val="000000"/>
          <w:sz w:val="24"/>
        </w:rPr>
      </w:pPr>
      <w:r>
        <w:rPr>
          <w:rFonts w:hint="eastAsia" w:ascii="宋体" w:hAnsi="宋体" w:eastAsia="宋体" w:cs="宋体"/>
          <w:b/>
          <w:spacing w:val="10"/>
          <w:kern w:val="0"/>
          <w:sz w:val="24"/>
        </w:rPr>
        <w:t>1.基本内容：</w:t>
      </w:r>
      <w:r>
        <w:rPr>
          <w:rFonts w:hint="eastAsia" w:ascii="宋体" w:hAnsi="宋体" w:eastAsia="宋体" w:cs="宋体"/>
          <w:color w:val="000000"/>
          <w:sz w:val="24"/>
        </w:rPr>
        <w:t>中国特色社会主义是历史和人民的选择；中国特色社会主义新时代的科学内涵；新时代伟大变革及其里程碑意义；全面贯彻党的基本理论、基本路线、基本方略；统筹推进“五位一体”总体布局和协调推进“四个全面”战略布。</w:t>
      </w:r>
    </w:p>
    <w:p>
      <w:pPr>
        <w:widowControl/>
        <w:spacing w:beforeLines="50" w:afterLines="50" w:line="400" w:lineRule="exact"/>
        <w:ind w:firstLine="645" w:firstLineChars="247"/>
        <w:jc w:val="left"/>
        <w:rPr>
          <w:rFonts w:ascii="宋体" w:hAnsi="宋体" w:eastAsia="宋体" w:cs="宋体"/>
          <w:color w:val="000000"/>
          <w:sz w:val="24"/>
        </w:rPr>
      </w:pPr>
      <w:r>
        <w:rPr>
          <w:rFonts w:hint="eastAsia" w:ascii="宋体" w:hAnsi="宋体" w:eastAsia="宋体" w:cs="宋体"/>
          <w:b/>
          <w:spacing w:val="10"/>
          <w:kern w:val="0"/>
          <w:sz w:val="24"/>
        </w:rPr>
        <w:t>2.基本要求：</w:t>
      </w:r>
      <w:r>
        <w:rPr>
          <w:rFonts w:hint="eastAsia" w:ascii="宋体" w:hAnsi="宋体" w:eastAsia="宋体" w:cs="宋体"/>
          <w:color w:val="000000"/>
          <w:sz w:val="24"/>
        </w:rPr>
        <w:t>理解中国特色社会主义是历史和人民的选择；掌握中国特色社会主义新时代的科学内涵；掌握推动中国特色社会主义不断开拓前进。</w:t>
      </w:r>
    </w:p>
    <w:p>
      <w:pPr>
        <w:widowControl/>
        <w:spacing w:beforeLines="50" w:afterLines="50" w:line="400" w:lineRule="exact"/>
        <w:ind w:firstLine="645" w:firstLineChars="247"/>
        <w:jc w:val="left"/>
        <w:rPr>
          <w:rFonts w:ascii="宋体" w:hAnsi="宋体" w:eastAsia="宋体" w:cs="宋体"/>
          <w:color w:val="000000"/>
          <w:sz w:val="24"/>
        </w:rPr>
      </w:pPr>
      <w:r>
        <w:rPr>
          <w:rFonts w:hint="eastAsia" w:ascii="宋体" w:hAnsi="宋体" w:eastAsia="宋体" w:cs="宋体"/>
          <w:b/>
          <w:spacing w:val="10"/>
          <w:kern w:val="0"/>
          <w:sz w:val="24"/>
        </w:rPr>
        <w:t>3.重点：</w:t>
      </w:r>
      <w:r>
        <w:rPr>
          <w:rFonts w:hint="eastAsia" w:ascii="宋体" w:hAnsi="宋体" w:eastAsia="宋体" w:cs="宋体"/>
          <w:color w:val="000000"/>
          <w:sz w:val="24"/>
        </w:rPr>
        <w:t>中国特色社会主义是历史和人民的选择；中国特色社会主义是社会主义而不是其他什么主义；中国特色社会主义新时代是我国发展新的历史方位。</w:t>
      </w:r>
    </w:p>
    <w:p>
      <w:pPr>
        <w:widowControl/>
        <w:spacing w:beforeLines="50" w:afterLines="50" w:line="400" w:lineRule="exact"/>
        <w:ind w:firstLine="652" w:firstLineChars="250"/>
        <w:jc w:val="left"/>
        <w:rPr>
          <w:rFonts w:ascii="宋体" w:hAnsi="宋体" w:eastAsia="宋体" w:cs="宋体e眠副浡渀."/>
          <w:color w:val="000000"/>
          <w:kern w:val="0"/>
          <w:sz w:val="24"/>
          <w:lang w:val="zh-TW"/>
        </w:rPr>
      </w:pPr>
      <w:r>
        <w:rPr>
          <w:rFonts w:hint="eastAsia" w:ascii="宋体" w:hAnsi="宋体" w:eastAsia="宋体" w:cs="宋体"/>
          <w:b/>
          <w:spacing w:val="10"/>
          <w:kern w:val="0"/>
          <w:sz w:val="24"/>
        </w:rPr>
        <w:t>4.难点：</w:t>
      </w:r>
      <w:r>
        <w:rPr>
          <w:rFonts w:hint="eastAsia" w:ascii="宋体" w:hAnsi="宋体" w:eastAsia="宋体" w:cs="宋体"/>
          <w:color w:val="000000"/>
          <w:sz w:val="24"/>
        </w:rPr>
        <w:t>新时代伟大变革及其里程碑意义；全面贯彻党的基本理论、基本路线、基本方略；推动中国特色社会主义不断开拓前进。</w:t>
      </w:r>
    </w:p>
    <w:p>
      <w:pPr>
        <w:adjustRightInd w:val="0"/>
        <w:snapToGrid w:val="0"/>
        <w:spacing w:line="420" w:lineRule="exact"/>
        <w:ind w:firstLine="482" w:firstLineChars="200"/>
        <w:rPr>
          <w:rFonts w:ascii="宋体" w:hAnsi="宋体" w:eastAsia="宋体" w:cs="宋体e眠副浡渀."/>
          <w:b/>
          <w:bCs/>
          <w:color w:val="000000"/>
          <w:kern w:val="0"/>
          <w:sz w:val="24"/>
          <w:lang w:val="zh-TW" w:eastAsia="zh-TW"/>
        </w:rPr>
      </w:pPr>
      <w:r>
        <w:rPr>
          <w:rFonts w:hint="eastAsia" w:ascii="宋体" w:hAnsi="宋体" w:eastAsia="宋体" w:cs="宋体e眠副浡渀."/>
          <w:b/>
          <w:bCs/>
          <w:color w:val="000000"/>
          <w:kern w:val="0"/>
          <w:sz w:val="24"/>
          <w:lang w:val="zh-TW" w:eastAsia="zh-TW"/>
        </w:rPr>
        <w:t>内容</w:t>
      </w:r>
      <w:r>
        <w:rPr>
          <w:rFonts w:hint="eastAsia" w:ascii="宋体" w:hAnsi="宋体" w:eastAsia="宋体" w:cs="宋体e眠副浡渀."/>
          <w:b/>
          <w:bCs/>
          <w:color w:val="000000"/>
          <w:kern w:val="0"/>
          <w:sz w:val="24"/>
          <w:lang w:val="zh-TW"/>
        </w:rPr>
        <w:t>3：</w:t>
      </w:r>
      <w:r>
        <w:rPr>
          <w:rFonts w:hint="eastAsia" w:ascii="宋体" w:hAnsi="宋体" w:eastAsia="宋体" w:cs="宋体e眠副浡渀."/>
          <w:b/>
          <w:bCs/>
          <w:color w:val="000000"/>
          <w:kern w:val="0"/>
          <w:sz w:val="24"/>
          <w:lang w:val="zh-TW" w:eastAsia="zh-TW"/>
        </w:rPr>
        <w:t xml:space="preserve"> 以中国式现代化全面推进中华民族伟大复兴</w:t>
      </w:r>
    </w:p>
    <w:p>
      <w:pPr>
        <w:widowControl/>
        <w:adjustRightInd w:val="0"/>
        <w:spacing w:beforeLines="50" w:afterLines="50" w:line="400" w:lineRule="exact"/>
        <w:ind w:firstLine="569" w:firstLineChars="218"/>
        <w:jc w:val="left"/>
        <w:rPr>
          <w:rFonts w:ascii="宋体" w:hAnsi="宋体" w:eastAsia="宋体"/>
          <w:sz w:val="24"/>
        </w:rPr>
      </w:pPr>
      <w:r>
        <w:rPr>
          <w:rFonts w:hint="eastAsia" w:ascii="宋体" w:hAnsi="宋体" w:eastAsia="宋体" w:cs="宋体"/>
          <w:b/>
          <w:spacing w:val="10"/>
          <w:kern w:val="0"/>
          <w:sz w:val="24"/>
        </w:rPr>
        <w:t>1.基本内容：</w:t>
      </w:r>
      <w:r>
        <w:rPr>
          <w:rFonts w:hint="eastAsia" w:ascii="宋体" w:hAnsi="宋体" w:eastAsia="宋体" w:cs="宋体"/>
          <w:color w:val="000000"/>
          <w:sz w:val="24"/>
        </w:rPr>
        <w:t>中华民族伟大复兴中国梦的内涵；全面建成小康社会的里程碑意义；中国式现代化的中国特色、本质要求和重大原则；推进中国式现代化需要正确处理的重大关系。</w:t>
      </w:r>
    </w:p>
    <w:p>
      <w:pPr>
        <w:widowControl/>
        <w:adjustRightInd w:val="0"/>
        <w:spacing w:beforeLines="50" w:afterLines="50" w:line="400" w:lineRule="exact"/>
        <w:ind w:firstLine="558" w:firstLineChars="214"/>
        <w:jc w:val="left"/>
        <w:rPr>
          <w:rFonts w:ascii="宋体" w:hAnsi="宋体" w:eastAsia="宋体" w:cs="宋体"/>
          <w:color w:val="000000"/>
          <w:sz w:val="24"/>
        </w:rPr>
      </w:pPr>
      <w:r>
        <w:rPr>
          <w:rFonts w:hint="eastAsia" w:ascii="宋体" w:hAnsi="宋体" w:eastAsia="宋体" w:cs="宋体"/>
          <w:b/>
          <w:spacing w:val="10"/>
          <w:kern w:val="0"/>
          <w:sz w:val="24"/>
        </w:rPr>
        <w:t>2.基本要求：</w:t>
      </w:r>
      <w:r>
        <w:rPr>
          <w:rFonts w:hint="eastAsia" w:ascii="宋体" w:hAnsi="宋体" w:eastAsia="宋体" w:cs="宋体"/>
          <w:color w:val="000000"/>
          <w:sz w:val="24"/>
        </w:rPr>
        <w:t>全面认识中国梦的内涵，掌握中国式现代化的内涵、特色与本质要求</w:t>
      </w:r>
    </w:p>
    <w:p>
      <w:pPr>
        <w:widowControl/>
        <w:adjustRightInd w:val="0"/>
        <w:spacing w:beforeLines="50" w:afterLines="50" w:line="400" w:lineRule="exact"/>
        <w:ind w:left="521" w:leftChars="248" w:firstLine="47" w:firstLineChars="18"/>
        <w:jc w:val="left"/>
        <w:rPr>
          <w:rFonts w:ascii="宋体" w:hAnsi="宋体" w:eastAsia="宋体" w:cs="宋体e眠副浡渀."/>
          <w:color w:val="000000"/>
          <w:kern w:val="0"/>
          <w:sz w:val="24"/>
          <w:lang w:val="zh-TW"/>
        </w:rPr>
      </w:pPr>
      <w:r>
        <w:rPr>
          <w:rFonts w:hint="eastAsia" w:ascii="宋体" w:hAnsi="宋体" w:eastAsia="宋体" w:cs="宋体"/>
          <w:b/>
          <w:spacing w:val="10"/>
          <w:kern w:val="0"/>
          <w:sz w:val="24"/>
        </w:rPr>
        <w:t>3.重点：</w:t>
      </w:r>
      <w:r>
        <w:rPr>
          <w:rFonts w:hint="eastAsia" w:ascii="宋体" w:hAnsi="宋体" w:eastAsia="宋体" w:cs="宋体"/>
          <w:color w:val="000000"/>
          <w:sz w:val="24"/>
        </w:rPr>
        <w:t>实现中华民族伟大复兴的中国梦；中国式现代化的中国特色。</w:t>
      </w:r>
    </w:p>
    <w:p>
      <w:pPr>
        <w:widowControl/>
        <w:adjustRightInd w:val="0"/>
        <w:spacing w:beforeLines="50" w:afterLines="50" w:line="400" w:lineRule="exact"/>
        <w:ind w:left="521" w:leftChars="248" w:firstLine="47" w:firstLineChars="18"/>
        <w:jc w:val="left"/>
        <w:rPr>
          <w:rFonts w:ascii="宋体" w:hAnsi="宋体" w:eastAsia="宋体" w:cs="宋体e眠副浡渀."/>
          <w:color w:val="000000"/>
          <w:kern w:val="0"/>
          <w:sz w:val="24"/>
          <w:lang w:val="zh-TW"/>
        </w:rPr>
      </w:pPr>
      <w:r>
        <w:rPr>
          <w:rFonts w:hint="eastAsia" w:ascii="宋体" w:hAnsi="宋体" w:eastAsia="宋体" w:cs="宋体"/>
          <w:b/>
          <w:spacing w:val="10"/>
          <w:kern w:val="0"/>
          <w:sz w:val="24"/>
        </w:rPr>
        <w:t>4.难点：</w:t>
      </w:r>
      <w:r>
        <w:rPr>
          <w:rFonts w:hint="eastAsia" w:ascii="宋体" w:hAnsi="宋体" w:eastAsia="宋体" w:cs="宋体"/>
          <w:color w:val="000000"/>
          <w:sz w:val="24"/>
        </w:rPr>
        <w:t>中国式现代化创造了人类文明新形态。</w:t>
      </w:r>
    </w:p>
    <w:p>
      <w:pPr>
        <w:adjustRightInd w:val="0"/>
        <w:snapToGrid w:val="0"/>
        <w:spacing w:line="420" w:lineRule="exact"/>
        <w:ind w:firstLine="482" w:firstLineChars="200"/>
        <w:rPr>
          <w:rFonts w:ascii="宋体" w:hAnsi="宋体" w:eastAsia="宋体" w:cs="宋体e眠副浡渀."/>
          <w:b/>
          <w:bCs/>
          <w:color w:val="000000"/>
          <w:kern w:val="0"/>
          <w:sz w:val="24"/>
          <w:lang w:val="zh-TW" w:eastAsia="zh-TW"/>
        </w:rPr>
      </w:pPr>
      <w:r>
        <w:rPr>
          <w:rFonts w:hint="eastAsia" w:ascii="宋体" w:hAnsi="宋体" w:eastAsia="宋体" w:cs="宋体e眠副浡渀."/>
          <w:b/>
          <w:bCs/>
          <w:color w:val="000000"/>
          <w:kern w:val="0"/>
          <w:sz w:val="24"/>
          <w:lang w:val="zh-TW" w:eastAsia="zh-TW"/>
        </w:rPr>
        <w:t>内容</w:t>
      </w:r>
      <w:r>
        <w:rPr>
          <w:rFonts w:hint="eastAsia" w:ascii="宋体" w:hAnsi="宋体" w:eastAsia="宋体" w:cs="宋体e眠副浡渀."/>
          <w:b/>
          <w:bCs/>
          <w:color w:val="000000"/>
          <w:kern w:val="0"/>
          <w:sz w:val="24"/>
          <w:lang w:val="zh-TW"/>
        </w:rPr>
        <w:t>4：</w:t>
      </w:r>
      <w:r>
        <w:rPr>
          <w:rFonts w:hint="eastAsia" w:ascii="宋体" w:hAnsi="宋体" w:eastAsia="宋体" w:cs="宋体e眠副浡渀."/>
          <w:b/>
          <w:bCs/>
          <w:color w:val="000000"/>
          <w:kern w:val="0"/>
          <w:sz w:val="24"/>
          <w:lang w:val="zh-TW" w:eastAsia="zh-TW"/>
        </w:rPr>
        <w:t xml:space="preserve"> 坚持党的全面领导  </w:t>
      </w:r>
    </w:p>
    <w:p>
      <w:pPr>
        <w:adjustRightInd w:val="0"/>
        <w:snapToGrid w:val="0"/>
        <w:spacing w:line="420" w:lineRule="exact"/>
        <w:ind w:firstLine="522" w:firstLineChars="200"/>
        <w:rPr>
          <w:rFonts w:ascii="宋体" w:hAnsi="宋体" w:eastAsia="宋体" w:cs="宋体"/>
          <w:color w:val="000000"/>
          <w:sz w:val="24"/>
        </w:rPr>
      </w:pPr>
      <w:r>
        <w:rPr>
          <w:rFonts w:hint="eastAsia" w:ascii="宋体" w:hAnsi="宋体" w:eastAsia="宋体" w:cs="宋体"/>
          <w:b/>
          <w:spacing w:val="10"/>
          <w:kern w:val="0"/>
          <w:sz w:val="24"/>
        </w:rPr>
        <w:t>1.基本内容：</w:t>
      </w:r>
      <w:r>
        <w:rPr>
          <w:rFonts w:hint="eastAsia" w:ascii="宋体" w:hAnsi="宋体" w:eastAsia="宋体" w:cs="宋体"/>
          <w:color w:val="000000"/>
          <w:sz w:val="24"/>
        </w:rPr>
        <w:t>中国共产党领导是中国特色社会主义最本质的特征；党的领导是全面的、系统的、整体的；维护党中央权威和集中统一领导的重大意义和实践要求；党的领导制度是我国的根本领导制度。</w:t>
      </w:r>
    </w:p>
    <w:p>
      <w:pPr>
        <w:widowControl/>
        <w:adjustRightInd w:val="0"/>
        <w:spacing w:beforeLines="50" w:afterLines="50" w:line="400" w:lineRule="exact"/>
        <w:ind w:firstLine="558" w:firstLineChars="214"/>
        <w:jc w:val="left"/>
        <w:rPr>
          <w:rFonts w:ascii="宋体" w:hAnsi="宋体" w:eastAsia="宋体" w:cs="宋体"/>
          <w:b/>
          <w:spacing w:val="10"/>
          <w:kern w:val="0"/>
          <w:sz w:val="24"/>
        </w:rPr>
      </w:pPr>
      <w:r>
        <w:rPr>
          <w:rFonts w:hint="eastAsia" w:ascii="宋体" w:hAnsi="宋体" w:eastAsia="宋体" w:cs="宋体"/>
          <w:b/>
          <w:spacing w:val="10"/>
          <w:kern w:val="0"/>
          <w:sz w:val="24"/>
        </w:rPr>
        <w:t>2.基本要求：</w:t>
      </w:r>
      <w:r>
        <w:rPr>
          <w:rFonts w:hint="eastAsia" w:ascii="宋体" w:hAnsi="宋体" w:eastAsia="宋体" w:cs="宋体"/>
          <w:color w:val="000000"/>
          <w:sz w:val="24"/>
        </w:rPr>
        <w:t>理解围绕为什么要坚持党的全面领导，掌握党的全面领导的科学内涵及其主要体现在哪里，理解怎样做到坚持党的全面领导。</w:t>
      </w:r>
    </w:p>
    <w:p>
      <w:pPr>
        <w:adjustRightInd w:val="0"/>
        <w:snapToGrid w:val="0"/>
        <w:spacing w:line="420" w:lineRule="exact"/>
        <w:ind w:firstLine="522" w:firstLineChars="200"/>
        <w:rPr>
          <w:rFonts w:ascii="宋体" w:hAnsi="宋体" w:eastAsia="宋体" w:cs="宋体"/>
          <w:color w:val="000000"/>
          <w:sz w:val="24"/>
        </w:rPr>
      </w:pPr>
      <w:r>
        <w:rPr>
          <w:rFonts w:hint="eastAsia" w:ascii="宋体" w:hAnsi="宋体" w:eastAsia="宋体" w:cs="宋体"/>
          <w:b/>
          <w:spacing w:val="10"/>
          <w:kern w:val="0"/>
          <w:sz w:val="24"/>
        </w:rPr>
        <w:t>3.重点：</w:t>
      </w:r>
      <w:r>
        <w:rPr>
          <w:rFonts w:hint="eastAsia" w:ascii="宋体" w:hAnsi="宋体" w:eastAsia="宋体" w:cs="宋体"/>
          <w:color w:val="000000"/>
          <w:sz w:val="24"/>
        </w:rPr>
        <w:t>为什么要坚持党的全面领导；党的全面领导的科学内涵及其主要体现；怎样做到坚持党的全面领导。</w:t>
      </w:r>
    </w:p>
    <w:p>
      <w:pPr>
        <w:adjustRightInd w:val="0"/>
        <w:snapToGrid w:val="0"/>
        <w:spacing w:line="420" w:lineRule="exact"/>
        <w:ind w:firstLine="522" w:firstLineChars="200"/>
        <w:rPr>
          <w:rFonts w:ascii="宋体" w:hAnsi="宋体" w:eastAsia="宋体" w:cs="宋体"/>
          <w:color w:val="000000"/>
          <w:sz w:val="24"/>
        </w:rPr>
      </w:pPr>
      <w:r>
        <w:rPr>
          <w:rFonts w:hint="eastAsia" w:ascii="宋体" w:hAnsi="宋体" w:eastAsia="宋体" w:cs="宋体"/>
          <w:b/>
          <w:spacing w:val="10"/>
          <w:kern w:val="0"/>
          <w:sz w:val="24"/>
        </w:rPr>
        <w:t>4.难点：</w:t>
      </w:r>
      <w:r>
        <w:rPr>
          <w:rFonts w:hint="eastAsia" w:ascii="宋体" w:hAnsi="宋体" w:eastAsia="宋体" w:cs="宋体"/>
          <w:color w:val="000000"/>
          <w:sz w:val="24"/>
        </w:rPr>
        <w:t>中国共产党领导是中国特色社会主义最本质的特征；党中央集中统一领导是党的领导的最高原则。</w:t>
      </w:r>
    </w:p>
    <w:p>
      <w:pPr>
        <w:adjustRightInd w:val="0"/>
        <w:snapToGrid w:val="0"/>
        <w:spacing w:line="420" w:lineRule="exact"/>
        <w:ind w:firstLine="482" w:firstLineChars="200"/>
        <w:rPr>
          <w:rFonts w:ascii="宋体" w:hAnsi="宋体" w:eastAsia="宋体" w:cs="宋体e眠副浡渀."/>
          <w:color w:val="000000"/>
          <w:kern w:val="0"/>
          <w:sz w:val="24"/>
          <w:lang w:val="zh-TW" w:eastAsia="zh-TW"/>
        </w:rPr>
      </w:pPr>
      <w:r>
        <w:rPr>
          <w:rFonts w:hint="eastAsia" w:ascii="宋体" w:hAnsi="宋体" w:eastAsia="宋体" w:cs="宋体e眠副浡渀."/>
          <w:b/>
          <w:bCs/>
          <w:color w:val="000000"/>
          <w:kern w:val="0"/>
          <w:sz w:val="24"/>
          <w:lang w:val="zh-TW" w:eastAsia="zh-TW"/>
        </w:rPr>
        <w:t>内容</w:t>
      </w:r>
      <w:r>
        <w:rPr>
          <w:rFonts w:hint="eastAsia" w:ascii="宋体" w:hAnsi="宋体" w:eastAsia="宋体" w:cs="宋体e眠副浡渀."/>
          <w:b/>
          <w:bCs/>
          <w:color w:val="000000"/>
          <w:kern w:val="0"/>
          <w:sz w:val="24"/>
          <w:lang w:val="zh-TW"/>
        </w:rPr>
        <w:t>5：</w:t>
      </w:r>
      <w:r>
        <w:rPr>
          <w:rFonts w:hint="eastAsia" w:ascii="宋体" w:hAnsi="宋体" w:eastAsia="宋体" w:cs="宋体e眠副浡渀."/>
          <w:b/>
          <w:bCs/>
          <w:color w:val="000000"/>
          <w:kern w:val="0"/>
          <w:sz w:val="24"/>
          <w:lang w:val="zh-TW" w:eastAsia="zh-TW"/>
        </w:rPr>
        <w:t xml:space="preserve"> 坚持以人民为中心</w:t>
      </w:r>
    </w:p>
    <w:p>
      <w:pPr>
        <w:adjustRightInd w:val="0"/>
        <w:snapToGrid w:val="0"/>
        <w:spacing w:line="420" w:lineRule="exact"/>
        <w:ind w:firstLine="522" w:firstLineChars="200"/>
        <w:rPr>
          <w:rFonts w:ascii="宋体" w:hAnsi="宋体" w:eastAsia="宋体" w:cs="宋体e眠副浡渀."/>
          <w:color w:val="000000"/>
          <w:kern w:val="0"/>
          <w:sz w:val="24"/>
          <w:lang w:val="zh-TW"/>
        </w:rPr>
      </w:pPr>
      <w:r>
        <w:rPr>
          <w:rFonts w:hint="eastAsia" w:ascii="宋体" w:hAnsi="宋体" w:eastAsia="宋体" w:cs="宋体"/>
          <w:b/>
          <w:spacing w:val="10"/>
          <w:kern w:val="0"/>
          <w:sz w:val="24"/>
        </w:rPr>
        <w:t>1.基本内容：</w:t>
      </w:r>
      <w:r>
        <w:rPr>
          <w:rFonts w:ascii="宋体" w:hAnsi="宋体" w:eastAsia="宋体" w:cs="宋体"/>
          <w:color w:val="000000"/>
          <w:sz w:val="24"/>
        </w:rPr>
        <w:t>“江山就是人民，人民就是江山”的深刻内涵</w:t>
      </w:r>
      <w:r>
        <w:rPr>
          <w:rFonts w:hint="eastAsia" w:ascii="宋体" w:hAnsi="宋体" w:eastAsia="宋体" w:cs="宋体"/>
          <w:color w:val="000000"/>
          <w:sz w:val="24"/>
        </w:rPr>
        <w:t>；</w:t>
      </w:r>
      <w:r>
        <w:rPr>
          <w:rFonts w:ascii="宋体" w:hAnsi="宋体" w:eastAsia="宋体" w:cs="宋体"/>
          <w:color w:val="000000"/>
          <w:sz w:val="24"/>
        </w:rPr>
        <w:t>坚持人民至上的实践要求</w:t>
      </w:r>
      <w:r>
        <w:rPr>
          <w:rFonts w:hint="eastAsia" w:ascii="宋体" w:hAnsi="宋体" w:eastAsia="宋体" w:cs="宋体"/>
          <w:color w:val="000000"/>
          <w:sz w:val="24"/>
        </w:rPr>
        <w:t>；</w:t>
      </w:r>
      <w:r>
        <w:rPr>
          <w:rFonts w:ascii="宋体" w:hAnsi="宋体" w:eastAsia="宋体" w:cs="宋体"/>
          <w:color w:val="000000"/>
          <w:sz w:val="24"/>
        </w:rPr>
        <w:t>扎实推动全体人民共同富裕的原则和思路</w:t>
      </w:r>
      <w:r>
        <w:rPr>
          <w:rFonts w:hint="eastAsia" w:ascii="宋体" w:hAnsi="宋体" w:eastAsia="宋体" w:cs="宋体"/>
          <w:color w:val="000000"/>
          <w:sz w:val="24"/>
        </w:rPr>
        <w:t>。</w:t>
      </w:r>
    </w:p>
    <w:p>
      <w:pPr>
        <w:adjustRightInd w:val="0"/>
        <w:snapToGrid w:val="0"/>
        <w:spacing w:line="420" w:lineRule="exact"/>
        <w:ind w:firstLine="522" w:firstLineChars="200"/>
        <w:rPr>
          <w:rFonts w:ascii="宋体" w:hAnsi="宋体" w:eastAsia="宋体" w:cs="宋体"/>
          <w:color w:val="000000"/>
          <w:sz w:val="24"/>
        </w:rPr>
      </w:pPr>
      <w:r>
        <w:rPr>
          <w:rFonts w:hint="eastAsia" w:ascii="宋体" w:hAnsi="宋体" w:eastAsia="宋体" w:cs="宋体"/>
          <w:b/>
          <w:spacing w:val="10"/>
          <w:kern w:val="0"/>
          <w:sz w:val="24"/>
        </w:rPr>
        <w:t>2.基本要求：</w:t>
      </w:r>
      <w:r>
        <w:rPr>
          <w:rFonts w:hint="eastAsia" w:ascii="宋体" w:hAnsi="宋体" w:eastAsia="宋体" w:cs="宋体"/>
          <w:color w:val="000000"/>
          <w:sz w:val="24"/>
        </w:rPr>
        <w:t>结合历史唯物主义群众史观，从理论视野深刻阐明坚持以人民为中心的学理基础、现实依据和牢牢把握的价值立场；从实践要求上结合人民的主体地位和现实需要，重点阐释坚持以人民为中心在新时代的主要内涵；把“以人民为中心的发展思想”的本质要求贯穿到新时代经济社会发展的具体实践进路。</w:t>
      </w:r>
    </w:p>
    <w:p>
      <w:pPr>
        <w:spacing w:line="460" w:lineRule="exact"/>
        <w:ind w:firstLine="522" w:firstLineChars="200"/>
        <w:rPr>
          <w:rFonts w:ascii="宋体" w:hAnsi="宋体" w:eastAsia="宋体" w:cs="宋体"/>
          <w:b/>
          <w:spacing w:val="10"/>
          <w:kern w:val="0"/>
          <w:sz w:val="24"/>
        </w:rPr>
      </w:pPr>
      <w:r>
        <w:rPr>
          <w:rFonts w:hint="eastAsia" w:ascii="宋体" w:hAnsi="宋体" w:eastAsia="宋体" w:cs="宋体"/>
          <w:b/>
          <w:spacing w:val="10"/>
          <w:kern w:val="0"/>
          <w:sz w:val="24"/>
        </w:rPr>
        <w:t>3.重点：</w:t>
      </w:r>
      <w:r>
        <w:rPr>
          <w:rFonts w:hint="eastAsia" w:ascii="宋体" w:hAnsi="宋体" w:eastAsia="宋体" w:cs="宋体"/>
          <w:sz w:val="24"/>
        </w:rPr>
        <w:t>人民立场是中国共产党的根本政治立场，坚持人民至上，全面落实以人民为中心的发展思想；坚持和贯彻党的群众路线，推动全体人民共同富裕取得更为明显的实质性进展。</w:t>
      </w:r>
    </w:p>
    <w:p>
      <w:pPr>
        <w:spacing w:line="460" w:lineRule="exact"/>
        <w:ind w:firstLine="522" w:firstLineChars="200"/>
        <w:rPr>
          <w:rFonts w:ascii="宋体" w:hAnsi="宋体" w:eastAsia="宋体"/>
          <w:sz w:val="24"/>
        </w:rPr>
      </w:pPr>
      <w:r>
        <w:rPr>
          <w:rFonts w:hint="eastAsia" w:ascii="宋体" w:hAnsi="宋体" w:eastAsia="宋体" w:cs="宋体"/>
          <w:b/>
          <w:spacing w:val="10"/>
          <w:kern w:val="0"/>
          <w:sz w:val="24"/>
        </w:rPr>
        <w:t>4.难点：</w:t>
      </w:r>
      <w:r>
        <w:rPr>
          <w:rFonts w:hint="eastAsia" w:ascii="宋体" w:hAnsi="宋体" w:eastAsia="宋体"/>
          <w:sz w:val="24"/>
        </w:rPr>
        <w:t>如何理解坚持以人民为中心的学理基础？如何完整准确把握共同富裕的科学内涵和实践路径？</w:t>
      </w:r>
    </w:p>
    <w:p>
      <w:pPr>
        <w:adjustRightInd w:val="0"/>
        <w:snapToGrid w:val="0"/>
        <w:spacing w:line="420" w:lineRule="exact"/>
        <w:ind w:firstLine="482" w:firstLineChars="200"/>
        <w:rPr>
          <w:rFonts w:ascii="宋体" w:hAnsi="宋体" w:eastAsia="宋体" w:cs="宋体e眠副浡渀."/>
          <w:b/>
          <w:bCs/>
          <w:color w:val="000000"/>
          <w:kern w:val="0"/>
          <w:sz w:val="24"/>
          <w:lang w:val="zh-TW" w:eastAsia="zh-TW"/>
        </w:rPr>
      </w:pPr>
      <w:r>
        <w:rPr>
          <w:rFonts w:hint="eastAsia" w:ascii="宋体" w:hAnsi="宋体" w:eastAsia="宋体" w:cs="宋体e眠副浡渀."/>
          <w:b/>
          <w:bCs/>
          <w:color w:val="000000"/>
          <w:kern w:val="0"/>
          <w:sz w:val="24"/>
          <w:lang w:val="zh-TW" w:eastAsia="zh-TW"/>
        </w:rPr>
        <w:t>内容</w:t>
      </w:r>
      <w:r>
        <w:rPr>
          <w:rFonts w:hint="eastAsia" w:ascii="宋体" w:hAnsi="宋体" w:eastAsia="宋体" w:cs="宋体e眠副浡渀."/>
          <w:b/>
          <w:bCs/>
          <w:color w:val="000000"/>
          <w:kern w:val="0"/>
          <w:sz w:val="24"/>
          <w:lang w:val="zh-TW"/>
        </w:rPr>
        <w:t>6</w:t>
      </w:r>
      <w:r>
        <w:rPr>
          <w:rFonts w:hint="eastAsia" w:ascii="宋体" w:hAnsi="宋体" w:eastAsia="宋体" w:cs="宋体e眠副浡渀."/>
          <w:b/>
          <w:bCs/>
          <w:color w:val="000000"/>
          <w:kern w:val="0"/>
          <w:sz w:val="24"/>
          <w:lang w:val="zh-TW" w:eastAsia="zh-TW"/>
        </w:rPr>
        <w:t xml:space="preserve">：全面深化改革开放  </w:t>
      </w:r>
    </w:p>
    <w:p>
      <w:pPr>
        <w:numPr>
          <w:ilvl w:val="0"/>
          <w:numId w:val="1"/>
        </w:numPr>
        <w:adjustRightInd w:val="0"/>
        <w:snapToGrid w:val="0"/>
        <w:spacing w:line="420" w:lineRule="exact"/>
        <w:ind w:firstLine="522" w:firstLineChars="200"/>
        <w:rPr>
          <w:rFonts w:ascii="宋体" w:hAnsi="宋体" w:eastAsia="宋体" w:cs="宋体"/>
          <w:b/>
          <w:spacing w:val="10"/>
          <w:kern w:val="0"/>
          <w:sz w:val="24"/>
        </w:rPr>
      </w:pPr>
      <w:r>
        <w:rPr>
          <w:rFonts w:hint="eastAsia" w:ascii="宋体" w:hAnsi="宋体" w:eastAsia="宋体" w:cs="宋体"/>
          <w:b/>
          <w:spacing w:val="10"/>
          <w:kern w:val="0"/>
          <w:sz w:val="24"/>
        </w:rPr>
        <w:t>基本内容：</w:t>
      </w:r>
      <w:r>
        <w:rPr>
          <w:rFonts w:ascii="宋体" w:hAnsi="宋体" w:eastAsia="宋体"/>
          <w:sz w:val="24"/>
        </w:rPr>
        <w:t>新时代全面深化改革开放是一场深刻革命</w:t>
      </w:r>
      <w:r>
        <w:rPr>
          <w:rFonts w:hint="eastAsia" w:ascii="宋体" w:hAnsi="宋体" w:eastAsia="宋体"/>
          <w:sz w:val="24"/>
        </w:rPr>
        <w:t>；</w:t>
      </w:r>
      <w:r>
        <w:rPr>
          <w:rFonts w:ascii="宋体" w:hAnsi="宋体" w:eastAsia="宋体"/>
          <w:sz w:val="24"/>
        </w:rPr>
        <w:t>坚持全面深化改革开放的正确方向</w:t>
      </w:r>
      <w:r>
        <w:rPr>
          <w:rFonts w:hint="eastAsia" w:ascii="宋体" w:hAnsi="宋体" w:eastAsia="宋体"/>
          <w:sz w:val="24"/>
        </w:rPr>
        <w:t>；</w:t>
      </w:r>
      <w:r>
        <w:rPr>
          <w:rFonts w:ascii="宋体" w:hAnsi="宋体" w:eastAsia="宋体"/>
          <w:sz w:val="24"/>
        </w:rPr>
        <w:t>全面深化改革总目标</w:t>
      </w:r>
      <w:r>
        <w:rPr>
          <w:rFonts w:hint="eastAsia" w:ascii="宋体" w:hAnsi="宋体" w:eastAsia="宋体"/>
          <w:sz w:val="24"/>
        </w:rPr>
        <w:t>；</w:t>
      </w:r>
      <w:r>
        <w:rPr>
          <w:rFonts w:ascii="宋体" w:hAnsi="宋体" w:eastAsia="宋体"/>
          <w:sz w:val="24"/>
        </w:rPr>
        <w:t>全面深化改革开放的正确方法论</w:t>
      </w:r>
      <w:r>
        <w:rPr>
          <w:rFonts w:hint="eastAsia" w:ascii="宋体" w:hAnsi="宋体" w:eastAsia="宋体"/>
          <w:sz w:val="24"/>
        </w:rPr>
        <w:t>。</w:t>
      </w:r>
    </w:p>
    <w:p>
      <w:pPr>
        <w:widowControl/>
        <w:adjustRightInd w:val="0"/>
        <w:spacing w:beforeLines="50" w:afterLines="50" w:line="400" w:lineRule="exact"/>
        <w:ind w:firstLine="558" w:firstLineChars="214"/>
        <w:jc w:val="left"/>
        <w:rPr>
          <w:rFonts w:ascii="宋体" w:hAnsi="宋体" w:eastAsia="宋体"/>
          <w:sz w:val="24"/>
        </w:rPr>
      </w:pPr>
      <w:r>
        <w:rPr>
          <w:rFonts w:hint="eastAsia" w:ascii="宋体" w:hAnsi="宋体" w:eastAsia="宋体" w:cs="宋体"/>
          <w:b/>
          <w:spacing w:val="10"/>
          <w:kern w:val="0"/>
          <w:sz w:val="24"/>
        </w:rPr>
        <w:t>2.基本要求：</w:t>
      </w:r>
      <w:r>
        <w:rPr>
          <w:rFonts w:hint="eastAsia" w:ascii="宋体" w:hAnsi="宋体" w:eastAsia="宋体"/>
          <w:sz w:val="24"/>
        </w:rPr>
        <w:t>掌握全面深化改革开放理论与全面深化改革目标；理解新时代全面深化改革开放难在哪里；掌握“三个进一步”。</w:t>
      </w:r>
    </w:p>
    <w:p>
      <w:pPr>
        <w:adjustRightInd w:val="0"/>
        <w:snapToGrid w:val="0"/>
        <w:spacing w:line="420" w:lineRule="exact"/>
        <w:ind w:firstLine="522" w:firstLineChars="200"/>
        <w:rPr>
          <w:rFonts w:ascii="宋体" w:hAnsi="宋体" w:eastAsia="宋体"/>
          <w:sz w:val="24"/>
        </w:rPr>
      </w:pPr>
      <w:r>
        <w:rPr>
          <w:rFonts w:hint="eastAsia" w:ascii="宋体" w:hAnsi="宋体" w:eastAsia="宋体" w:cs="宋体"/>
          <w:b/>
          <w:spacing w:val="10"/>
          <w:kern w:val="0"/>
          <w:sz w:val="24"/>
        </w:rPr>
        <w:t>3.重点：</w:t>
      </w:r>
      <w:r>
        <w:rPr>
          <w:rFonts w:hint="eastAsia" w:ascii="宋体" w:hAnsi="宋体" w:eastAsia="宋体"/>
          <w:sz w:val="24"/>
        </w:rPr>
        <w:t>全面深化改革开放的必要性；如何全面深化改革开放；改革开放未来前景。</w:t>
      </w:r>
    </w:p>
    <w:p>
      <w:pPr>
        <w:adjustRightInd w:val="0"/>
        <w:snapToGrid w:val="0"/>
        <w:spacing w:line="420" w:lineRule="exact"/>
        <w:ind w:firstLine="522" w:firstLineChars="200"/>
        <w:rPr>
          <w:rFonts w:ascii="宋体" w:hAnsi="宋体" w:eastAsia="宋体" w:cs="宋体"/>
          <w:b/>
          <w:spacing w:val="10"/>
          <w:kern w:val="0"/>
          <w:sz w:val="24"/>
        </w:rPr>
      </w:pPr>
      <w:r>
        <w:rPr>
          <w:rFonts w:hint="eastAsia" w:ascii="宋体" w:hAnsi="宋体" w:eastAsia="宋体" w:cs="宋体"/>
          <w:b/>
          <w:spacing w:val="10"/>
          <w:kern w:val="0"/>
          <w:sz w:val="24"/>
        </w:rPr>
        <w:t>4.难点：</w:t>
      </w:r>
      <w:r>
        <w:rPr>
          <w:rFonts w:hint="eastAsia" w:ascii="宋体" w:hAnsi="宋体" w:eastAsia="宋体"/>
          <w:sz w:val="24"/>
        </w:rPr>
        <w:t>全面深化改革难在哪里；其与45年前改革开放初期存在什么样的区别；如何理解全面深化改革开放必须坚持正确的方向及其方法论。</w:t>
      </w:r>
    </w:p>
    <w:p>
      <w:pPr>
        <w:adjustRightInd w:val="0"/>
        <w:snapToGrid w:val="0"/>
        <w:spacing w:line="420" w:lineRule="exact"/>
        <w:ind w:firstLine="482" w:firstLineChars="200"/>
        <w:rPr>
          <w:rFonts w:ascii="宋体" w:hAnsi="宋体" w:eastAsia="宋体" w:cs="宋体e眠副浡渀."/>
          <w:b/>
          <w:bCs/>
          <w:color w:val="000000"/>
          <w:kern w:val="0"/>
          <w:sz w:val="24"/>
          <w:lang w:val="zh-TW" w:eastAsia="zh-TW"/>
        </w:rPr>
      </w:pPr>
      <w:r>
        <w:rPr>
          <w:rFonts w:hint="eastAsia" w:ascii="宋体" w:hAnsi="宋体" w:eastAsia="宋体" w:cs="宋体e眠副浡渀."/>
          <w:b/>
          <w:bCs/>
          <w:color w:val="000000"/>
          <w:kern w:val="0"/>
          <w:sz w:val="24"/>
          <w:lang w:val="zh-TW" w:eastAsia="zh-TW"/>
        </w:rPr>
        <w:t>内容</w:t>
      </w:r>
      <w:r>
        <w:rPr>
          <w:rFonts w:hint="eastAsia" w:ascii="宋体" w:hAnsi="宋体" w:eastAsia="宋体" w:cs="宋体e眠副浡渀."/>
          <w:b/>
          <w:bCs/>
          <w:color w:val="000000"/>
          <w:kern w:val="0"/>
          <w:sz w:val="24"/>
          <w:lang w:val="zh-TW"/>
        </w:rPr>
        <w:t>7</w:t>
      </w:r>
      <w:r>
        <w:rPr>
          <w:rFonts w:hint="eastAsia" w:ascii="宋体" w:hAnsi="宋体" w:eastAsia="宋体" w:cs="宋体e眠副浡渀."/>
          <w:b/>
          <w:bCs/>
          <w:color w:val="000000"/>
          <w:kern w:val="0"/>
          <w:sz w:val="24"/>
          <w:lang w:val="zh-TW" w:eastAsia="zh-TW"/>
        </w:rPr>
        <w:t>：推动高质量发展</w:t>
      </w:r>
    </w:p>
    <w:p>
      <w:pPr>
        <w:adjustRightInd w:val="0"/>
        <w:snapToGrid w:val="0"/>
        <w:spacing w:line="420" w:lineRule="exact"/>
        <w:ind w:firstLine="522" w:firstLineChars="200"/>
        <w:rPr>
          <w:rFonts w:ascii="宋体" w:hAnsi="宋体" w:eastAsia="宋体"/>
          <w:sz w:val="24"/>
        </w:rPr>
      </w:pPr>
      <w:r>
        <w:rPr>
          <w:rFonts w:hint="eastAsia" w:ascii="宋体" w:hAnsi="宋体" w:eastAsia="宋体" w:cs="宋体"/>
          <w:b/>
          <w:spacing w:val="10"/>
          <w:kern w:val="0"/>
          <w:sz w:val="24"/>
        </w:rPr>
        <w:t>1.基本内容：</w:t>
      </w:r>
      <w:r>
        <w:rPr>
          <w:rFonts w:hint="eastAsia" w:ascii="宋体" w:hAnsi="宋体" w:eastAsia="宋体"/>
          <w:sz w:val="24"/>
        </w:rPr>
        <w:t>新发展理念的科学内涵和实践要求；高质量发展的深刻内涵和重大意义；坚持和完善社会主义基本经济制度；构建以国内大循环为主体、国内国际双循环相互促进的新发展格局。</w:t>
      </w:r>
    </w:p>
    <w:p>
      <w:pPr>
        <w:adjustRightInd w:val="0"/>
        <w:snapToGrid w:val="0"/>
        <w:spacing w:line="420" w:lineRule="exact"/>
        <w:ind w:firstLine="522" w:firstLineChars="200"/>
        <w:rPr>
          <w:rFonts w:hint="eastAsia" w:ascii="宋体" w:hAnsi="宋体" w:eastAsia="宋体"/>
          <w:sz w:val="24"/>
        </w:rPr>
      </w:pPr>
      <w:r>
        <w:rPr>
          <w:rFonts w:hint="eastAsia" w:ascii="宋体" w:hAnsi="宋体" w:eastAsia="宋体" w:cs="宋体"/>
          <w:b/>
          <w:spacing w:val="10"/>
          <w:kern w:val="0"/>
          <w:sz w:val="24"/>
        </w:rPr>
        <w:t>2.基本要求：</w:t>
      </w:r>
      <w:r>
        <w:rPr>
          <w:rFonts w:hint="eastAsia" w:ascii="宋体" w:hAnsi="宋体" w:eastAsia="宋体"/>
          <w:sz w:val="24"/>
        </w:rPr>
        <w:t>解坚持高质量发展是新时代的硬道理，掌握需把握新发展阶段，贯彻新发展理念；理解加快构建新发展格局，以高质量发展推进中国式现代化。</w:t>
      </w:r>
    </w:p>
    <w:p>
      <w:pPr>
        <w:adjustRightInd w:val="0"/>
        <w:snapToGrid w:val="0"/>
        <w:spacing w:line="420" w:lineRule="exact"/>
        <w:ind w:firstLine="522" w:firstLineChars="200"/>
        <w:rPr>
          <w:rFonts w:ascii="宋体" w:hAnsi="宋体" w:eastAsia="宋体"/>
          <w:sz w:val="24"/>
        </w:rPr>
      </w:pPr>
      <w:r>
        <w:rPr>
          <w:rFonts w:hint="eastAsia" w:ascii="宋体" w:hAnsi="宋体" w:eastAsia="宋体" w:cs="宋体"/>
          <w:b/>
          <w:spacing w:val="10"/>
          <w:kern w:val="0"/>
          <w:sz w:val="24"/>
        </w:rPr>
        <w:t>3.重点</w:t>
      </w:r>
      <w:r>
        <w:rPr>
          <w:rFonts w:hint="eastAsia" w:ascii="宋体" w:hAnsi="宋体" w:eastAsia="宋体"/>
          <w:b/>
          <w:sz w:val="24"/>
        </w:rPr>
        <w:t>：</w:t>
      </w:r>
      <w:r>
        <w:rPr>
          <w:rFonts w:hint="eastAsia" w:ascii="宋体" w:hAnsi="宋体" w:eastAsia="宋体"/>
          <w:sz w:val="24"/>
        </w:rPr>
        <w:t>如何完整、准确、全面把握新发展阶段，贯彻新发展理念，构建新发展格局。</w:t>
      </w:r>
    </w:p>
    <w:p>
      <w:pPr>
        <w:adjustRightInd w:val="0"/>
        <w:snapToGrid w:val="0"/>
        <w:spacing w:line="420" w:lineRule="exact"/>
        <w:ind w:firstLine="522" w:firstLineChars="200"/>
        <w:rPr>
          <w:rFonts w:ascii="宋体" w:hAnsi="宋体" w:eastAsia="宋体"/>
          <w:sz w:val="24"/>
        </w:rPr>
      </w:pPr>
      <w:r>
        <w:rPr>
          <w:rFonts w:hint="eastAsia" w:ascii="宋体" w:hAnsi="宋体" w:eastAsia="宋体" w:cs="宋体"/>
          <w:b/>
          <w:spacing w:val="10"/>
          <w:kern w:val="0"/>
          <w:sz w:val="24"/>
        </w:rPr>
        <w:t>4.难点：</w:t>
      </w:r>
      <w:r>
        <w:rPr>
          <w:rFonts w:hint="eastAsia" w:ascii="宋体" w:hAnsi="宋体" w:eastAsia="宋体"/>
          <w:sz w:val="24"/>
        </w:rPr>
        <w:t>为什么必须以新发展理念引领高质量发展；为什么构建新发展格局是推动高质量发展的战略基点。</w:t>
      </w:r>
    </w:p>
    <w:p>
      <w:pPr>
        <w:adjustRightInd w:val="0"/>
        <w:snapToGrid w:val="0"/>
        <w:spacing w:line="420" w:lineRule="exact"/>
        <w:ind w:firstLine="482" w:firstLineChars="200"/>
        <w:rPr>
          <w:rFonts w:ascii="宋体" w:hAnsi="宋体" w:eastAsia="宋体" w:cs="宋体e眠副浡渀."/>
          <w:color w:val="000000"/>
          <w:kern w:val="0"/>
          <w:sz w:val="24"/>
          <w:lang w:val="zh-TW" w:eastAsia="zh-TW"/>
        </w:rPr>
      </w:pPr>
      <w:r>
        <w:rPr>
          <w:rFonts w:hint="eastAsia" w:ascii="宋体" w:hAnsi="宋体" w:eastAsia="宋体" w:cs="宋体e眠副浡渀."/>
          <w:b/>
          <w:bCs/>
          <w:color w:val="000000"/>
          <w:kern w:val="0"/>
          <w:sz w:val="24"/>
          <w:lang w:val="zh-TW" w:eastAsia="zh-TW"/>
        </w:rPr>
        <w:t>内容</w:t>
      </w:r>
      <w:r>
        <w:rPr>
          <w:rFonts w:hint="eastAsia" w:ascii="宋体" w:hAnsi="宋体" w:eastAsia="宋体" w:cs="宋体e眠副浡渀."/>
          <w:b/>
          <w:bCs/>
          <w:color w:val="000000"/>
          <w:kern w:val="0"/>
          <w:sz w:val="24"/>
          <w:lang w:val="zh-TW"/>
        </w:rPr>
        <w:t>8</w:t>
      </w:r>
      <w:r>
        <w:rPr>
          <w:rFonts w:hint="eastAsia" w:ascii="宋体" w:hAnsi="宋体" w:eastAsia="宋体" w:cs="宋体e眠副浡渀."/>
          <w:b/>
          <w:bCs/>
          <w:color w:val="000000"/>
          <w:kern w:val="0"/>
          <w:sz w:val="24"/>
          <w:lang w:val="zh-TW" w:eastAsia="zh-TW"/>
        </w:rPr>
        <w:t xml:space="preserve">：社会主义现代化建设的教育、科技、人才战略 </w:t>
      </w:r>
    </w:p>
    <w:p>
      <w:pPr>
        <w:numPr>
          <w:ilvl w:val="0"/>
          <w:numId w:val="2"/>
        </w:numPr>
        <w:adjustRightInd w:val="0"/>
        <w:snapToGrid w:val="0"/>
        <w:spacing w:line="420" w:lineRule="exact"/>
        <w:ind w:firstLine="522" w:firstLineChars="200"/>
        <w:rPr>
          <w:rFonts w:ascii="宋体" w:hAnsi="宋体" w:eastAsia="宋体" w:cs="宋体"/>
          <w:sz w:val="24"/>
        </w:rPr>
      </w:pPr>
      <w:r>
        <w:rPr>
          <w:rFonts w:hint="eastAsia" w:ascii="宋体" w:hAnsi="宋体" w:eastAsia="宋体" w:cs="宋体"/>
          <w:b/>
          <w:spacing w:val="10"/>
          <w:kern w:val="0"/>
          <w:sz w:val="24"/>
        </w:rPr>
        <w:t>基本内容：</w:t>
      </w:r>
      <w:r>
        <w:rPr>
          <w:rFonts w:hint="eastAsia" w:ascii="宋体" w:hAnsi="宋体" w:eastAsia="宋体"/>
          <w:sz w:val="24"/>
        </w:rPr>
        <w:t>教育、科技、人才是全面建设社会主义现代化国家的基础性、战略性支撑；教育是国之大计、党之大计；科技自立自强是国家强盛之基、安全之要；人才是实现民族振兴、赢得国际竞争主动的战略资源。</w:t>
      </w:r>
    </w:p>
    <w:p>
      <w:pPr>
        <w:adjustRightInd w:val="0"/>
        <w:snapToGrid w:val="0"/>
        <w:spacing w:line="420" w:lineRule="exact"/>
        <w:ind w:firstLine="522" w:firstLineChars="200"/>
        <w:rPr>
          <w:rFonts w:hint="eastAsia" w:ascii="宋体" w:hAnsi="宋体" w:eastAsia="宋体"/>
          <w:sz w:val="24"/>
        </w:rPr>
      </w:pPr>
      <w:r>
        <w:rPr>
          <w:rFonts w:hint="eastAsia" w:ascii="宋体" w:hAnsi="宋体" w:eastAsia="宋体" w:cs="宋体"/>
          <w:b/>
          <w:spacing w:val="10"/>
          <w:kern w:val="0"/>
          <w:sz w:val="24"/>
        </w:rPr>
        <w:t>2.基本要求：</w:t>
      </w:r>
      <w:r>
        <w:rPr>
          <w:rFonts w:hint="eastAsia" w:ascii="宋体" w:hAnsi="宋体" w:eastAsia="宋体"/>
          <w:sz w:val="24"/>
        </w:rPr>
        <w:t>把握科技是第一生产力、人才是第一资源、创新是第一动力；理解教育优先发展、科技自立自强、人才引领驱动，加快教育强国、科技强国、人才强国建设。</w:t>
      </w:r>
    </w:p>
    <w:p>
      <w:pPr>
        <w:numPr>
          <w:ilvl w:val="255"/>
          <w:numId w:val="0"/>
        </w:numPr>
        <w:spacing w:line="360" w:lineRule="auto"/>
        <w:ind w:firstLine="522" w:firstLineChars="200"/>
        <w:rPr>
          <w:rFonts w:ascii="宋体" w:hAnsi="宋体" w:eastAsia="宋体"/>
          <w:sz w:val="24"/>
        </w:rPr>
      </w:pPr>
      <w:r>
        <w:rPr>
          <w:rFonts w:hint="eastAsia" w:ascii="宋体" w:hAnsi="宋体" w:eastAsia="宋体" w:cs="宋体"/>
          <w:b/>
          <w:spacing w:val="10"/>
          <w:kern w:val="0"/>
          <w:sz w:val="24"/>
        </w:rPr>
        <w:t>3.重点：</w:t>
      </w:r>
      <w:r>
        <w:rPr>
          <w:rFonts w:hint="eastAsia" w:ascii="宋体" w:hAnsi="宋体" w:eastAsia="宋体"/>
          <w:sz w:val="24"/>
        </w:rPr>
        <w:t>为什么说教育、科技、人才具有基础性、战略性地位；为什么要坚持教育发展科技创新人才培养一体推进；为什么要加快建设教育强国；如何办好人民满意的教育。</w:t>
      </w:r>
    </w:p>
    <w:p>
      <w:pPr>
        <w:spacing w:line="360" w:lineRule="auto"/>
        <w:ind w:firstLine="522" w:firstLineChars="200"/>
        <w:rPr>
          <w:rFonts w:ascii="宋体" w:hAnsi="宋体" w:eastAsia="宋体"/>
          <w:sz w:val="24"/>
        </w:rPr>
      </w:pPr>
      <w:r>
        <w:rPr>
          <w:rFonts w:hint="eastAsia" w:ascii="宋体" w:hAnsi="宋体" w:eastAsia="宋体" w:cs="宋体"/>
          <w:b/>
          <w:spacing w:val="10"/>
          <w:kern w:val="0"/>
          <w:sz w:val="24"/>
        </w:rPr>
        <w:t>4.难点：</w:t>
      </w:r>
      <w:r>
        <w:rPr>
          <w:rFonts w:hint="eastAsia" w:ascii="宋体" w:hAnsi="宋体" w:eastAsia="宋体"/>
          <w:sz w:val="24"/>
        </w:rPr>
        <w:t>如何把握教育、科技、人才的内在逻辑；如何理解建设教育强国、科技强国、人才强国的内在一致性和相互支撑性。</w:t>
      </w:r>
    </w:p>
    <w:p>
      <w:pPr>
        <w:adjustRightInd w:val="0"/>
        <w:snapToGrid w:val="0"/>
        <w:spacing w:line="420" w:lineRule="exact"/>
        <w:ind w:firstLine="482" w:firstLineChars="200"/>
        <w:rPr>
          <w:rFonts w:ascii="宋体" w:hAnsi="宋体" w:eastAsia="宋体" w:cs="宋体e眠副浡渀."/>
          <w:b/>
          <w:bCs/>
          <w:color w:val="000000"/>
          <w:kern w:val="0"/>
          <w:sz w:val="24"/>
          <w:lang w:val="zh-TW" w:eastAsia="zh-TW"/>
        </w:rPr>
      </w:pPr>
      <w:r>
        <w:rPr>
          <w:rFonts w:hint="eastAsia" w:ascii="宋体" w:hAnsi="宋体" w:eastAsia="宋体" w:cs="宋体e眠副浡渀."/>
          <w:b/>
          <w:bCs/>
          <w:color w:val="000000"/>
          <w:kern w:val="0"/>
          <w:sz w:val="24"/>
          <w:lang w:val="zh-TW" w:eastAsia="zh-TW"/>
        </w:rPr>
        <w:t>内容</w:t>
      </w:r>
      <w:r>
        <w:rPr>
          <w:rFonts w:hint="eastAsia" w:ascii="宋体" w:hAnsi="宋体" w:eastAsia="宋体" w:cs="宋体e眠副浡渀."/>
          <w:b/>
          <w:bCs/>
          <w:color w:val="000000"/>
          <w:kern w:val="0"/>
          <w:sz w:val="24"/>
          <w:lang w:val="zh-TW"/>
        </w:rPr>
        <w:t>9</w:t>
      </w:r>
      <w:r>
        <w:rPr>
          <w:rFonts w:hint="eastAsia" w:ascii="宋体" w:hAnsi="宋体" w:eastAsia="宋体" w:cs="宋体e眠副浡渀."/>
          <w:b/>
          <w:bCs/>
          <w:color w:val="000000"/>
          <w:kern w:val="0"/>
          <w:sz w:val="24"/>
          <w:lang w:val="zh-TW" w:eastAsia="zh-TW"/>
        </w:rPr>
        <w:t>：发展全过程人民民主</w:t>
      </w:r>
    </w:p>
    <w:p>
      <w:pPr>
        <w:adjustRightInd w:val="0"/>
        <w:snapToGrid w:val="0"/>
        <w:spacing w:line="420" w:lineRule="exact"/>
        <w:ind w:firstLine="522" w:firstLineChars="200"/>
        <w:rPr>
          <w:rFonts w:ascii="宋体" w:hAnsi="宋体" w:eastAsia="宋体" w:cs="宋体e眠副浡渀."/>
          <w:color w:val="000000"/>
          <w:kern w:val="0"/>
          <w:sz w:val="24"/>
        </w:rPr>
      </w:pPr>
      <w:r>
        <w:rPr>
          <w:rFonts w:hint="eastAsia" w:ascii="宋体" w:hAnsi="宋体" w:eastAsia="宋体" w:cs="宋体"/>
          <w:b/>
          <w:spacing w:val="10"/>
          <w:kern w:val="0"/>
          <w:sz w:val="24"/>
        </w:rPr>
        <w:t>1.基本内容</w:t>
      </w:r>
      <w:r>
        <w:rPr>
          <w:rFonts w:hint="eastAsia" w:ascii="宋体" w:hAnsi="宋体" w:eastAsia="宋体" w:cs="宋体e眠副浡渀."/>
          <w:color w:val="000000"/>
          <w:kern w:val="0"/>
          <w:sz w:val="24"/>
        </w:rPr>
        <w:t>：坚定不移走中国特色社会主义政治发展道路；全过程人民民主是社会主义民主政治的本质属性；人民当家作主制度体系的主要内容；巩固和发展新时代爱国统一战线的重要意义。</w:t>
      </w:r>
    </w:p>
    <w:p>
      <w:pPr>
        <w:adjustRightInd w:val="0"/>
        <w:snapToGrid w:val="0"/>
        <w:spacing w:line="420" w:lineRule="exact"/>
        <w:ind w:firstLine="522" w:firstLineChars="200"/>
        <w:rPr>
          <w:rFonts w:ascii="宋体" w:hAnsi="宋体" w:eastAsia="宋体" w:cs="宋体e眠副浡渀."/>
          <w:color w:val="000000"/>
          <w:kern w:val="0"/>
          <w:sz w:val="24"/>
        </w:rPr>
      </w:pPr>
      <w:r>
        <w:rPr>
          <w:rFonts w:hint="eastAsia" w:ascii="宋体" w:hAnsi="宋体" w:eastAsia="宋体" w:cs="宋体"/>
          <w:b/>
          <w:spacing w:val="10"/>
          <w:kern w:val="0"/>
          <w:sz w:val="24"/>
        </w:rPr>
        <w:t>2.基本要求：</w:t>
      </w:r>
      <w:r>
        <w:rPr>
          <w:rFonts w:hint="eastAsia" w:ascii="宋体" w:hAnsi="宋体" w:eastAsia="宋体" w:cs="宋体e眠副浡渀."/>
          <w:color w:val="000000"/>
          <w:kern w:val="0"/>
          <w:sz w:val="24"/>
        </w:rPr>
        <w:t>掌握全过程人民民主的理论内涵。聚焦制度自信，理解从民主到人民民主，从人民民主到全过程人民民主。</w:t>
      </w:r>
    </w:p>
    <w:p>
      <w:pPr>
        <w:adjustRightInd w:val="0"/>
        <w:snapToGrid w:val="0"/>
        <w:spacing w:line="420" w:lineRule="exact"/>
        <w:ind w:firstLine="511" w:firstLineChars="196"/>
        <w:jc w:val="left"/>
        <w:rPr>
          <w:rFonts w:ascii="宋体" w:hAnsi="宋体" w:eastAsia="宋体" w:cs="宋体e眠副浡渀."/>
          <w:color w:val="000000"/>
          <w:kern w:val="0"/>
          <w:sz w:val="24"/>
        </w:rPr>
      </w:pPr>
      <w:r>
        <w:rPr>
          <w:rFonts w:hint="eastAsia" w:ascii="宋体" w:hAnsi="宋体" w:eastAsia="宋体" w:cs="宋体"/>
          <w:b/>
          <w:spacing w:val="10"/>
          <w:kern w:val="0"/>
          <w:sz w:val="24"/>
        </w:rPr>
        <w:t>3.重点：</w:t>
      </w:r>
      <w:r>
        <w:rPr>
          <w:rFonts w:hint="eastAsia" w:ascii="宋体" w:hAnsi="宋体" w:eastAsia="宋体" w:cs="宋体e眠副浡渀."/>
          <w:color w:val="000000"/>
          <w:kern w:val="0"/>
          <w:sz w:val="24"/>
        </w:rPr>
        <w:t>坚定不移走中国特色社会主义政治发展道路；全过程人民民主是社会主义民主政治的本质属性；人民当家作主制度体系的主要内容；巩固和发展新时代爱国统一战线的重要意义。</w:t>
      </w:r>
    </w:p>
    <w:p>
      <w:pPr>
        <w:adjustRightInd w:val="0"/>
        <w:snapToGrid w:val="0"/>
        <w:spacing w:line="420" w:lineRule="exact"/>
        <w:ind w:firstLine="511" w:firstLineChars="196"/>
        <w:jc w:val="left"/>
        <w:rPr>
          <w:rFonts w:ascii="宋体" w:hAnsi="宋体" w:eastAsia="宋体" w:cs="宋体e眠副浡渀."/>
          <w:color w:val="000000"/>
          <w:kern w:val="0"/>
          <w:sz w:val="24"/>
        </w:rPr>
      </w:pPr>
      <w:r>
        <w:rPr>
          <w:rFonts w:hint="eastAsia" w:ascii="宋体" w:hAnsi="宋体" w:eastAsia="宋体" w:cs="宋体"/>
          <w:b/>
          <w:spacing w:val="10"/>
          <w:kern w:val="0"/>
          <w:sz w:val="24"/>
        </w:rPr>
        <w:t>4.难点：</w:t>
      </w:r>
      <w:r>
        <w:rPr>
          <w:rFonts w:hint="eastAsia" w:ascii="宋体" w:hAnsi="宋体" w:eastAsia="宋体" w:cs="宋体e眠副浡渀."/>
          <w:color w:val="000000"/>
          <w:kern w:val="0"/>
          <w:sz w:val="24"/>
        </w:rPr>
        <w:t>民主的内涵、不同类型；人民民主对西方民主的超越和优点；什么是全过程人民民主，内涵、优势；制度保障、政治发展道路。</w:t>
      </w:r>
    </w:p>
    <w:p>
      <w:pPr>
        <w:adjustRightInd w:val="0"/>
        <w:snapToGrid w:val="0"/>
        <w:spacing w:line="420" w:lineRule="exact"/>
        <w:ind w:firstLine="482" w:firstLineChars="200"/>
        <w:rPr>
          <w:rFonts w:ascii="宋体" w:hAnsi="宋体" w:eastAsia="宋体" w:cs="宋体e眠副浡渀."/>
          <w:b/>
          <w:bCs/>
          <w:color w:val="000000"/>
          <w:kern w:val="0"/>
          <w:sz w:val="24"/>
          <w:lang w:val="zh-TW" w:eastAsia="zh-TW"/>
        </w:rPr>
      </w:pPr>
      <w:r>
        <w:rPr>
          <w:rFonts w:hint="eastAsia" w:ascii="宋体" w:hAnsi="宋体" w:eastAsia="宋体" w:cs="宋体e眠副浡渀."/>
          <w:b/>
          <w:bCs/>
          <w:color w:val="000000"/>
          <w:kern w:val="0"/>
          <w:sz w:val="24"/>
          <w:lang w:val="zh-TW" w:eastAsia="zh-TW"/>
        </w:rPr>
        <w:t>内容</w:t>
      </w:r>
      <w:r>
        <w:rPr>
          <w:rFonts w:hint="eastAsia" w:ascii="宋体" w:hAnsi="宋体" w:eastAsia="宋体" w:cs="宋体e眠副浡渀."/>
          <w:b/>
          <w:bCs/>
          <w:color w:val="000000"/>
          <w:kern w:val="0"/>
          <w:sz w:val="24"/>
          <w:lang w:val="zh-TW"/>
        </w:rPr>
        <w:t>10</w:t>
      </w:r>
      <w:r>
        <w:rPr>
          <w:rFonts w:hint="eastAsia" w:ascii="宋体" w:hAnsi="宋体" w:eastAsia="宋体" w:cs="宋体e眠副浡渀."/>
          <w:b/>
          <w:bCs/>
          <w:color w:val="000000"/>
          <w:kern w:val="0"/>
          <w:sz w:val="24"/>
          <w:lang w:val="zh-TW" w:eastAsia="zh-TW"/>
        </w:rPr>
        <w:t xml:space="preserve">：全面依法治国 </w:t>
      </w:r>
    </w:p>
    <w:p>
      <w:pPr>
        <w:adjustRightInd w:val="0"/>
        <w:snapToGrid w:val="0"/>
        <w:spacing w:line="420" w:lineRule="exact"/>
        <w:ind w:firstLine="522" w:firstLineChars="200"/>
        <w:rPr>
          <w:rFonts w:ascii="宋体" w:hAnsi="宋体" w:eastAsia="宋体" w:cs="宋体e眠副浡渀."/>
          <w:color w:val="000000"/>
          <w:kern w:val="0"/>
          <w:sz w:val="24"/>
        </w:rPr>
      </w:pPr>
      <w:r>
        <w:rPr>
          <w:rFonts w:hint="eastAsia" w:ascii="宋体" w:hAnsi="宋体" w:eastAsia="宋体" w:cs="宋体"/>
          <w:b/>
          <w:spacing w:val="10"/>
          <w:kern w:val="0"/>
          <w:sz w:val="24"/>
        </w:rPr>
        <w:t>1.基本内容：</w:t>
      </w:r>
      <w:r>
        <w:rPr>
          <w:rFonts w:ascii="宋体" w:hAnsi="宋体" w:eastAsia="宋体" w:cs="宋体e眠副浡渀."/>
          <w:color w:val="000000"/>
          <w:kern w:val="0"/>
          <w:sz w:val="24"/>
        </w:rPr>
        <w:t>全面依法治国的重大意义</w:t>
      </w:r>
      <w:r>
        <w:rPr>
          <w:rFonts w:hint="eastAsia" w:ascii="宋体" w:hAnsi="宋体" w:eastAsia="宋体" w:cs="宋体e眠副浡渀."/>
          <w:color w:val="000000"/>
          <w:kern w:val="0"/>
          <w:sz w:val="24"/>
        </w:rPr>
        <w:t>；</w:t>
      </w:r>
      <w:r>
        <w:rPr>
          <w:rFonts w:ascii="宋体" w:hAnsi="宋体" w:eastAsia="宋体" w:cs="宋体e眠副浡渀."/>
          <w:color w:val="000000"/>
          <w:kern w:val="0"/>
          <w:sz w:val="24"/>
        </w:rPr>
        <w:t>中国特色社会主义法治道路的核心要义和基本原则</w:t>
      </w:r>
      <w:r>
        <w:rPr>
          <w:rFonts w:hint="eastAsia" w:ascii="宋体" w:hAnsi="宋体" w:eastAsia="宋体" w:cs="宋体e眠副浡渀."/>
          <w:color w:val="000000"/>
          <w:kern w:val="0"/>
          <w:sz w:val="24"/>
        </w:rPr>
        <w:t>；</w:t>
      </w:r>
      <w:r>
        <w:rPr>
          <w:rFonts w:ascii="宋体" w:hAnsi="宋体" w:eastAsia="宋体" w:cs="宋体e眠副浡渀."/>
          <w:color w:val="000000"/>
          <w:kern w:val="0"/>
          <w:sz w:val="24"/>
        </w:rPr>
        <w:t>中国特色社会主义法治体系的主要内容</w:t>
      </w:r>
      <w:r>
        <w:rPr>
          <w:rFonts w:hint="eastAsia" w:ascii="宋体" w:hAnsi="宋体" w:eastAsia="宋体" w:cs="宋体e眠副浡渀."/>
          <w:color w:val="000000"/>
          <w:kern w:val="0"/>
          <w:sz w:val="24"/>
        </w:rPr>
        <w:t>；</w:t>
      </w:r>
      <w:r>
        <w:rPr>
          <w:rFonts w:ascii="宋体" w:hAnsi="宋体" w:eastAsia="宋体" w:cs="宋体e眠副浡渀."/>
          <w:color w:val="000000"/>
          <w:kern w:val="0"/>
          <w:sz w:val="24"/>
        </w:rPr>
        <w:t>加快推进法治中国建设的主要任务</w:t>
      </w:r>
      <w:r>
        <w:rPr>
          <w:rFonts w:hint="eastAsia" w:ascii="宋体" w:hAnsi="宋体" w:eastAsia="宋体" w:cs="宋体e眠副浡渀."/>
          <w:color w:val="000000"/>
          <w:kern w:val="0"/>
          <w:sz w:val="24"/>
        </w:rPr>
        <w:t>。</w:t>
      </w:r>
    </w:p>
    <w:p>
      <w:pPr>
        <w:widowControl/>
        <w:adjustRightInd w:val="0"/>
        <w:spacing w:beforeLines="50" w:afterLines="50" w:line="400" w:lineRule="exact"/>
        <w:ind w:firstLine="558" w:firstLineChars="214"/>
        <w:jc w:val="left"/>
        <w:rPr>
          <w:rFonts w:ascii="宋体" w:hAnsi="宋体" w:eastAsia="宋体" w:cs="宋体e眠副浡渀."/>
          <w:color w:val="000000"/>
          <w:kern w:val="0"/>
          <w:sz w:val="24"/>
        </w:rPr>
      </w:pPr>
      <w:r>
        <w:rPr>
          <w:rFonts w:hint="eastAsia" w:ascii="宋体" w:hAnsi="宋体" w:eastAsia="宋体" w:cs="宋体"/>
          <w:b/>
          <w:spacing w:val="10"/>
          <w:kern w:val="0"/>
          <w:sz w:val="24"/>
        </w:rPr>
        <w:t>2.基本要求：</w:t>
      </w:r>
      <w:r>
        <w:rPr>
          <w:rFonts w:hint="eastAsia" w:ascii="宋体" w:hAnsi="宋体" w:eastAsia="宋体" w:cs="宋体e眠副浡渀."/>
          <w:color w:val="000000"/>
          <w:kern w:val="0"/>
          <w:sz w:val="24"/>
        </w:rPr>
        <w:t>全面掌握习近平法治思想的主要内容。掌握中国特色法治道路的核心要义和基本原则。</w:t>
      </w:r>
    </w:p>
    <w:p>
      <w:pPr>
        <w:ind w:firstLine="522" w:firstLineChars="200"/>
        <w:rPr>
          <w:rFonts w:ascii="宋体" w:hAnsi="宋体" w:eastAsia="宋体" w:cs="宋体e眠副浡渀."/>
          <w:color w:val="000000"/>
          <w:kern w:val="0"/>
          <w:sz w:val="24"/>
        </w:rPr>
      </w:pPr>
      <w:r>
        <w:rPr>
          <w:rFonts w:hint="eastAsia" w:ascii="宋体" w:hAnsi="宋体" w:eastAsia="宋体" w:cs="宋体"/>
          <w:b/>
          <w:spacing w:val="10"/>
          <w:kern w:val="0"/>
          <w:sz w:val="24"/>
        </w:rPr>
        <w:t>3.重点：</w:t>
      </w:r>
      <w:r>
        <w:rPr>
          <w:rFonts w:hint="eastAsia" w:ascii="宋体" w:hAnsi="宋体" w:eastAsia="宋体" w:cs="宋体e眠副浡渀."/>
          <w:color w:val="000000"/>
          <w:kern w:val="0"/>
          <w:sz w:val="24"/>
        </w:rPr>
        <w:t>全面依法治国是国家治理的一场深刻革命；中国特色社会主义法治道路的核心要义和基本原则；中国特色社会主义法治体系的主要内容；加快推进法治中国建设的主要任务。</w:t>
      </w:r>
    </w:p>
    <w:p>
      <w:pPr>
        <w:adjustRightInd w:val="0"/>
        <w:snapToGrid w:val="0"/>
        <w:spacing w:line="420" w:lineRule="exact"/>
        <w:ind w:firstLine="522" w:firstLineChars="200"/>
        <w:rPr>
          <w:rFonts w:ascii="宋体" w:hAnsi="宋体" w:eastAsia="宋体" w:cs="宋体"/>
          <w:sz w:val="24"/>
        </w:rPr>
      </w:pPr>
      <w:r>
        <w:rPr>
          <w:rFonts w:hint="eastAsia" w:ascii="宋体" w:hAnsi="宋体" w:eastAsia="宋体" w:cs="宋体"/>
          <w:b/>
          <w:spacing w:val="10"/>
          <w:kern w:val="0"/>
          <w:sz w:val="24"/>
        </w:rPr>
        <w:t>4.难点：</w:t>
      </w:r>
      <w:r>
        <w:rPr>
          <w:rFonts w:hint="eastAsia" w:ascii="宋体" w:hAnsi="宋体" w:eastAsia="宋体" w:cs="宋体e眠副浡渀."/>
          <w:color w:val="000000"/>
          <w:kern w:val="0"/>
          <w:sz w:val="24"/>
        </w:rPr>
        <w:t>正确处理政治和法治的关系与“党大还是法大”的伪命题辨析；坚持依法治国首先要坚持依宪治国，坚持依法执政首先要坚持依宪执政。</w:t>
      </w:r>
    </w:p>
    <w:p>
      <w:pPr>
        <w:adjustRightInd w:val="0"/>
        <w:snapToGrid w:val="0"/>
        <w:spacing w:line="420" w:lineRule="exact"/>
        <w:ind w:firstLine="482" w:firstLineChars="200"/>
        <w:rPr>
          <w:rFonts w:ascii="宋体" w:hAnsi="宋体" w:eastAsia="宋体" w:cs="宋体e眠副浡渀."/>
          <w:b/>
          <w:bCs/>
          <w:color w:val="000000"/>
          <w:kern w:val="0"/>
          <w:sz w:val="24"/>
          <w:lang w:val="zh-TW" w:eastAsia="zh-TW"/>
        </w:rPr>
      </w:pPr>
      <w:r>
        <w:rPr>
          <w:rFonts w:hint="eastAsia" w:ascii="宋体" w:hAnsi="宋体" w:eastAsia="宋体" w:cs="宋体e眠副浡渀."/>
          <w:b/>
          <w:bCs/>
          <w:color w:val="000000"/>
          <w:kern w:val="0"/>
          <w:sz w:val="24"/>
          <w:lang w:val="zh-TW" w:eastAsia="zh-TW"/>
        </w:rPr>
        <w:t>内容</w:t>
      </w:r>
      <w:r>
        <w:rPr>
          <w:rFonts w:hint="eastAsia" w:ascii="宋体" w:hAnsi="宋体" w:eastAsia="宋体" w:cs="宋体e眠副浡渀."/>
          <w:b/>
          <w:bCs/>
          <w:color w:val="000000"/>
          <w:kern w:val="0"/>
          <w:sz w:val="24"/>
          <w:lang w:val="zh-TW"/>
        </w:rPr>
        <w:t>11</w:t>
      </w:r>
      <w:r>
        <w:rPr>
          <w:rFonts w:hint="eastAsia" w:ascii="宋体" w:hAnsi="宋体" w:eastAsia="宋体" w:cs="宋体e眠副浡渀."/>
          <w:b/>
          <w:bCs/>
          <w:color w:val="000000"/>
          <w:kern w:val="0"/>
          <w:sz w:val="24"/>
          <w:lang w:val="zh-TW" w:eastAsia="zh-TW"/>
        </w:rPr>
        <w:t xml:space="preserve">：建设社会主义文化强国 </w:t>
      </w:r>
    </w:p>
    <w:p>
      <w:pPr>
        <w:adjustRightInd w:val="0"/>
        <w:snapToGrid w:val="0"/>
        <w:spacing w:line="420" w:lineRule="exact"/>
        <w:ind w:firstLine="522" w:firstLineChars="200"/>
        <w:rPr>
          <w:rFonts w:ascii="宋体" w:hAnsi="宋体" w:eastAsia="宋体" w:cs="宋体e眠副浡渀."/>
          <w:color w:val="000000"/>
          <w:kern w:val="0"/>
          <w:sz w:val="24"/>
        </w:rPr>
      </w:pPr>
      <w:r>
        <w:rPr>
          <w:rFonts w:hint="eastAsia" w:ascii="宋体" w:hAnsi="宋体" w:eastAsia="宋体" w:cs="宋体"/>
          <w:b/>
          <w:spacing w:val="10"/>
          <w:kern w:val="0"/>
          <w:sz w:val="24"/>
        </w:rPr>
        <w:t>1.基本内容：</w:t>
      </w:r>
      <w:r>
        <w:rPr>
          <w:rFonts w:hint="eastAsia" w:ascii="宋体" w:hAnsi="宋体" w:eastAsia="宋体" w:cs="宋体e眠副浡渀."/>
          <w:color w:val="000000"/>
          <w:kern w:val="0"/>
          <w:sz w:val="24"/>
        </w:rPr>
        <w:t>文化自信是实现中华民族伟大复兴的强大精神力量；坚持马克思主义在意识形态领域指导地位的根本制度；培育和践行社会主义核心价值观的基本要求；中华文明的突出特性。</w:t>
      </w:r>
    </w:p>
    <w:p>
      <w:pPr>
        <w:widowControl/>
        <w:adjustRightInd w:val="0"/>
        <w:spacing w:beforeLines="50" w:afterLines="50" w:line="400" w:lineRule="exact"/>
        <w:ind w:left="521" w:leftChars="248" w:firstLine="47" w:firstLineChars="18"/>
        <w:jc w:val="left"/>
        <w:rPr>
          <w:rFonts w:ascii="宋体" w:hAnsi="宋体" w:eastAsia="宋体" w:cs="宋体"/>
          <w:b/>
          <w:spacing w:val="10"/>
          <w:kern w:val="0"/>
          <w:sz w:val="24"/>
        </w:rPr>
      </w:pPr>
      <w:r>
        <w:rPr>
          <w:rFonts w:hint="eastAsia" w:ascii="宋体" w:hAnsi="宋体" w:eastAsia="宋体" w:cs="宋体"/>
          <w:b/>
          <w:spacing w:val="10"/>
          <w:kern w:val="0"/>
          <w:sz w:val="24"/>
        </w:rPr>
        <w:t>2.基本要求：</w:t>
      </w:r>
    </w:p>
    <w:p>
      <w:pPr>
        <w:ind w:firstLine="522" w:firstLineChars="200"/>
        <w:rPr>
          <w:rFonts w:ascii="宋体" w:hAnsi="宋体" w:eastAsia="宋体" w:cs="宋体e眠副浡渀."/>
          <w:color w:val="000000"/>
          <w:kern w:val="0"/>
          <w:sz w:val="24"/>
        </w:rPr>
      </w:pPr>
      <w:r>
        <w:rPr>
          <w:rFonts w:hint="eastAsia" w:ascii="宋体" w:hAnsi="宋体" w:eastAsia="宋体" w:cs="宋体"/>
          <w:b/>
          <w:spacing w:val="10"/>
          <w:kern w:val="0"/>
          <w:sz w:val="24"/>
          <w:lang w:val="en-US" w:eastAsia="zh-CN"/>
        </w:rPr>
        <w:t>3.</w:t>
      </w:r>
      <w:r>
        <w:rPr>
          <w:rFonts w:hint="eastAsia" w:ascii="宋体" w:hAnsi="宋体" w:eastAsia="宋体" w:cs="宋体"/>
          <w:b/>
          <w:spacing w:val="10"/>
          <w:kern w:val="0"/>
          <w:sz w:val="24"/>
        </w:rPr>
        <w:t>重点：</w:t>
      </w:r>
      <w:r>
        <w:rPr>
          <w:rFonts w:hint="eastAsia" w:ascii="宋体" w:hAnsi="宋体" w:eastAsia="宋体" w:cs="宋体e眠副浡渀."/>
          <w:color w:val="000000"/>
          <w:kern w:val="0"/>
          <w:sz w:val="24"/>
        </w:rPr>
        <w:t>为什么要坚持马克思主义在意识形态领域指导地位的根本制度；为什么要用社会主义核心价值观凝心聚力。</w:t>
      </w:r>
    </w:p>
    <w:p>
      <w:pPr>
        <w:adjustRightInd w:val="0"/>
        <w:snapToGrid w:val="0"/>
        <w:spacing w:line="420" w:lineRule="exact"/>
        <w:ind w:firstLine="522" w:firstLineChars="200"/>
        <w:rPr>
          <w:rFonts w:ascii="宋体" w:hAnsi="宋体" w:eastAsia="宋体" w:cs="宋体e眠副浡渀."/>
          <w:color w:val="000000"/>
          <w:kern w:val="0"/>
          <w:sz w:val="24"/>
        </w:rPr>
      </w:pPr>
      <w:r>
        <w:rPr>
          <w:rFonts w:hint="eastAsia" w:ascii="宋体" w:hAnsi="宋体" w:eastAsia="宋体" w:cs="宋体"/>
          <w:b/>
          <w:spacing w:val="10"/>
          <w:kern w:val="0"/>
          <w:sz w:val="24"/>
          <w:lang w:val="en-US" w:eastAsia="zh-CN"/>
        </w:rPr>
        <w:t>4.</w:t>
      </w:r>
      <w:r>
        <w:rPr>
          <w:rFonts w:hint="eastAsia" w:ascii="宋体" w:hAnsi="宋体" w:eastAsia="宋体" w:cs="宋体"/>
          <w:b/>
          <w:spacing w:val="10"/>
          <w:kern w:val="0"/>
          <w:sz w:val="24"/>
        </w:rPr>
        <w:t>难点：</w:t>
      </w:r>
      <w:r>
        <w:rPr>
          <w:rFonts w:hint="eastAsia" w:ascii="宋体" w:hAnsi="宋体" w:eastAsia="宋体" w:cs="宋体e眠副浡渀."/>
          <w:color w:val="000000"/>
          <w:kern w:val="0"/>
          <w:sz w:val="24"/>
        </w:rPr>
        <w:t>文化、意识形态、价值观三者的内在关系；为什么要用社会主义核心价值观凝心聚力。</w:t>
      </w:r>
    </w:p>
    <w:p>
      <w:pPr>
        <w:adjustRightInd w:val="0"/>
        <w:snapToGrid w:val="0"/>
        <w:spacing w:line="420" w:lineRule="exact"/>
        <w:ind w:firstLine="522" w:firstLineChars="200"/>
        <w:rPr>
          <w:rFonts w:ascii="宋体" w:hAnsi="宋体" w:eastAsia="宋体" w:cs="宋体"/>
          <w:b/>
          <w:spacing w:val="10"/>
          <w:kern w:val="0"/>
          <w:sz w:val="24"/>
        </w:rPr>
      </w:pPr>
      <w:r>
        <w:rPr>
          <w:rFonts w:hint="eastAsia" w:ascii="宋体" w:hAnsi="宋体" w:eastAsia="宋体" w:cs="宋体"/>
          <w:b/>
          <w:spacing w:val="10"/>
          <w:kern w:val="0"/>
          <w:sz w:val="24"/>
        </w:rPr>
        <w:t>第十一章：以保障和改善民生为重点加强社会建设</w:t>
      </w:r>
    </w:p>
    <w:p>
      <w:pPr>
        <w:adjustRightInd w:val="0"/>
        <w:snapToGrid w:val="0"/>
        <w:spacing w:line="420" w:lineRule="exact"/>
        <w:ind w:firstLine="522" w:firstLineChars="200"/>
        <w:rPr>
          <w:rFonts w:ascii="宋体" w:hAnsi="宋体" w:eastAsia="宋体" w:cs="宋体e眠副浡渀."/>
          <w:color w:val="000000"/>
          <w:kern w:val="0"/>
          <w:sz w:val="24"/>
        </w:rPr>
      </w:pPr>
      <w:r>
        <w:rPr>
          <w:rFonts w:hint="eastAsia" w:ascii="宋体" w:hAnsi="宋体" w:eastAsia="宋体" w:cs="宋体"/>
          <w:b/>
          <w:spacing w:val="10"/>
          <w:kern w:val="0"/>
          <w:sz w:val="24"/>
        </w:rPr>
        <w:t>1.基本内容：</w:t>
      </w:r>
      <w:r>
        <w:rPr>
          <w:rFonts w:ascii="宋体" w:hAnsi="宋体" w:eastAsia="宋体" w:cs="宋体e眠副浡渀."/>
          <w:color w:val="000000"/>
          <w:kern w:val="0"/>
          <w:sz w:val="24"/>
        </w:rPr>
        <w:t>在发展中增进民生福祉</w:t>
      </w:r>
      <w:r>
        <w:rPr>
          <w:rFonts w:hint="eastAsia" w:ascii="宋体" w:hAnsi="宋体" w:eastAsia="宋体" w:cs="宋体e眠副浡渀."/>
          <w:color w:val="000000"/>
          <w:kern w:val="0"/>
          <w:sz w:val="24"/>
        </w:rPr>
        <w:t>；</w:t>
      </w:r>
      <w:r>
        <w:rPr>
          <w:rFonts w:ascii="宋体" w:hAnsi="宋体" w:eastAsia="宋体" w:cs="宋体e眠副浡渀."/>
          <w:color w:val="000000"/>
          <w:kern w:val="0"/>
          <w:sz w:val="24"/>
        </w:rPr>
        <w:t>提高人民生活品质的主要着力点</w:t>
      </w:r>
      <w:r>
        <w:rPr>
          <w:rFonts w:hint="eastAsia" w:ascii="宋体" w:hAnsi="宋体" w:eastAsia="宋体" w:cs="宋体e眠副浡渀."/>
          <w:color w:val="000000"/>
          <w:kern w:val="0"/>
          <w:sz w:val="24"/>
        </w:rPr>
        <w:t>；</w:t>
      </w:r>
      <w:r>
        <w:rPr>
          <w:rFonts w:ascii="宋体" w:hAnsi="宋体" w:eastAsia="宋体" w:cs="宋体e眠副浡渀."/>
          <w:color w:val="000000"/>
          <w:kern w:val="0"/>
          <w:sz w:val="24"/>
        </w:rPr>
        <w:t>加强和创新社会治理的意义和要求</w:t>
      </w:r>
      <w:r>
        <w:rPr>
          <w:rFonts w:hint="eastAsia" w:ascii="宋体" w:hAnsi="宋体" w:eastAsia="宋体" w:cs="宋体e眠副浡渀."/>
          <w:color w:val="000000"/>
          <w:kern w:val="0"/>
          <w:sz w:val="24"/>
        </w:rPr>
        <w:t>。</w:t>
      </w:r>
    </w:p>
    <w:p>
      <w:pPr>
        <w:adjustRightInd w:val="0"/>
        <w:snapToGrid w:val="0"/>
        <w:spacing w:line="420" w:lineRule="exact"/>
        <w:ind w:firstLine="522" w:firstLineChars="200"/>
        <w:rPr>
          <w:rFonts w:ascii="宋体" w:hAnsi="宋体" w:eastAsia="宋体" w:cs="宋体e眠副浡渀."/>
          <w:color w:val="000000"/>
          <w:kern w:val="0"/>
          <w:sz w:val="24"/>
        </w:rPr>
      </w:pPr>
      <w:r>
        <w:rPr>
          <w:rFonts w:hint="eastAsia" w:ascii="宋体" w:hAnsi="宋体" w:eastAsia="宋体" w:cs="宋体"/>
          <w:b/>
          <w:spacing w:val="10"/>
          <w:kern w:val="0"/>
          <w:sz w:val="24"/>
        </w:rPr>
        <w:t>2.基本要求：</w:t>
      </w:r>
      <w:r>
        <w:rPr>
          <w:rFonts w:hint="eastAsia" w:ascii="宋体" w:hAnsi="宋体" w:eastAsia="宋体" w:cs="宋体e眠副浡渀."/>
          <w:color w:val="000000"/>
          <w:kern w:val="0"/>
          <w:sz w:val="24"/>
        </w:rPr>
        <w:t>理解民生是人民幸福之基，理解人民获得感幸福感安全感更加充实、更有保障、 更可持续，是保障和改善民生的现实目标；把握在共建共治共享中推进社会治理现代化，是保障和改善民生的推进路径。</w:t>
      </w:r>
    </w:p>
    <w:p>
      <w:pPr>
        <w:adjustRightInd w:val="0"/>
        <w:snapToGrid w:val="0"/>
        <w:spacing w:line="420" w:lineRule="exact"/>
        <w:ind w:firstLine="522" w:firstLineChars="200"/>
        <w:rPr>
          <w:rFonts w:ascii="宋体" w:hAnsi="宋体" w:eastAsia="宋体" w:cs="宋体"/>
          <w:b/>
          <w:spacing w:val="10"/>
          <w:kern w:val="0"/>
          <w:sz w:val="24"/>
        </w:rPr>
      </w:pPr>
      <w:r>
        <w:rPr>
          <w:rFonts w:hint="eastAsia" w:ascii="宋体" w:hAnsi="宋体" w:eastAsia="宋体" w:cs="宋体"/>
          <w:b/>
          <w:spacing w:val="10"/>
          <w:kern w:val="0"/>
          <w:sz w:val="24"/>
        </w:rPr>
        <w:t>3.重点：</w:t>
      </w:r>
      <w:r>
        <w:rPr>
          <w:rFonts w:hint="eastAsia" w:ascii="宋体" w:hAnsi="宋体" w:eastAsia="宋体" w:cs="宋体e眠副浡渀."/>
          <w:color w:val="000000"/>
          <w:kern w:val="0"/>
          <w:sz w:val="24"/>
        </w:rPr>
        <w:t>民生是人民幸福之基，如何解读民生是人民幸福之基；坚持在发展中增进民生福祉，如何解读在发展中增进民生福祉。</w:t>
      </w:r>
    </w:p>
    <w:p>
      <w:pPr>
        <w:adjustRightInd w:val="0"/>
        <w:snapToGrid w:val="0"/>
        <w:spacing w:line="420" w:lineRule="exact"/>
        <w:ind w:firstLine="522" w:firstLineChars="200"/>
        <w:rPr>
          <w:rFonts w:ascii="宋体" w:hAnsi="宋体" w:eastAsia="宋体" w:cs="宋体e眠副浡渀."/>
          <w:color w:val="000000"/>
          <w:kern w:val="0"/>
          <w:sz w:val="24"/>
        </w:rPr>
      </w:pPr>
      <w:r>
        <w:rPr>
          <w:rFonts w:hint="eastAsia" w:ascii="宋体" w:hAnsi="宋体" w:eastAsia="宋体" w:cs="宋体"/>
          <w:b/>
          <w:spacing w:val="10"/>
          <w:kern w:val="0"/>
          <w:sz w:val="24"/>
        </w:rPr>
        <w:t>4.难点：</w:t>
      </w:r>
      <w:r>
        <w:rPr>
          <w:rFonts w:hint="eastAsia" w:ascii="宋体" w:hAnsi="宋体" w:eastAsia="宋体" w:cs="宋体e眠副浡渀."/>
          <w:color w:val="000000"/>
          <w:kern w:val="0"/>
          <w:sz w:val="24"/>
        </w:rPr>
        <w:t>如何把握提高人民生活品质的着力点；如何解释社会治理与民生关系。</w:t>
      </w:r>
    </w:p>
    <w:p>
      <w:pPr>
        <w:adjustRightInd w:val="0"/>
        <w:snapToGrid w:val="0"/>
        <w:spacing w:line="420" w:lineRule="exact"/>
        <w:ind w:firstLine="522" w:firstLineChars="200"/>
        <w:rPr>
          <w:rFonts w:ascii="宋体" w:hAnsi="宋体" w:eastAsia="宋体" w:cs="宋体"/>
          <w:b/>
          <w:spacing w:val="10"/>
          <w:kern w:val="0"/>
          <w:sz w:val="24"/>
        </w:rPr>
      </w:pPr>
      <w:r>
        <w:rPr>
          <w:rFonts w:hint="eastAsia" w:ascii="宋体" w:hAnsi="宋体" w:eastAsia="宋体" w:cs="宋体"/>
          <w:b/>
          <w:spacing w:val="10"/>
          <w:kern w:val="0"/>
          <w:sz w:val="24"/>
        </w:rPr>
        <w:t>内容13：建设社会主义生态文明</w:t>
      </w:r>
    </w:p>
    <w:p>
      <w:pPr>
        <w:adjustRightInd w:val="0"/>
        <w:snapToGrid w:val="0"/>
        <w:spacing w:line="420" w:lineRule="exact"/>
        <w:ind w:firstLine="522" w:firstLineChars="200"/>
        <w:rPr>
          <w:rFonts w:ascii="宋体" w:hAnsi="宋体" w:eastAsia="宋体" w:cs="宋体e眠副浡渀."/>
          <w:color w:val="000000"/>
          <w:kern w:val="0"/>
          <w:sz w:val="24"/>
        </w:rPr>
      </w:pPr>
      <w:r>
        <w:rPr>
          <w:rFonts w:hint="eastAsia" w:ascii="宋体" w:hAnsi="宋体" w:eastAsia="宋体" w:cs="宋体"/>
          <w:b/>
          <w:spacing w:val="10"/>
          <w:kern w:val="0"/>
          <w:sz w:val="24"/>
        </w:rPr>
        <w:t>1.基本内容：</w:t>
      </w:r>
      <w:r>
        <w:rPr>
          <w:rFonts w:hint="eastAsia" w:ascii="宋体" w:hAnsi="宋体" w:eastAsia="宋体" w:cs="宋体e眠副浡渀."/>
          <w:color w:val="000000"/>
          <w:kern w:val="0"/>
          <w:sz w:val="24"/>
        </w:rPr>
        <w:t>绿水青山就是金山银山的科学内涵；建设美丽中国的主要任务；全球环境治理的中国方案。</w:t>
      </w:r>
    </w:p>
    <w:p>
      <w:pPr>
        <w:adjustRightInd w:val="0"/>
        <w:snapToGrid w:val="0"/>
        <w:spacing w:line="420" w:lineRule="exact"/>
        <w:ind w:firstLine="522" w:firstLineChars="200"/>
        <w:rPr>
          <w:rFonts w:ascii="宋体" w:hAnsi="宋体" w:eastAsia="宋体" w:cs="宋体e眠副浡渀."/>
          <w:color w:val="000000"/>
          <w:kern w:val="0"/>
          <w:sz w:val="24"/>
        </w:rPr>
      </w:pPr>
      <w:r>
        <w:rPr>
          <w:rFonts w:hint="eastAsia" w:ascii="宋体" w:hAnsi="宋体" w:eastAsia="宋体" w:cs="宋体"/>
          <w:b/>
          <w:spacing w:val="10"/>
          <w:kern w:val="0"/>
          <w:sz w:val="24"/>
        </w:rPr>
        <w:t>2.基本要求：</w:t>
      </w:r>
      <w:r>
        <w:rPr>
          <w:rFonts w:hint="eastAsia" w:ascii="宋体" w:hAnsi="宋体" w:eastAsia="宋体" w:cs="宋体e眠副浡渀."/>
          <w:color w:val="000000"/>
          <w:kern w:val="0"/>
          <w:sz w:val="24"/>
        </w:rPr>
        <w:t>掌握什么是建设生态文明；把握到怎样建设生态文明；理解“共建全球生态文明之路”的中国方案。理解人与自然和谐共生的理念，掌握建设美丽中国的主要任务。</w:t>
      </w:r>
    </w:p>
    <w:p>
      <w:pPr>
        <w:ind w:firstLine="522" w:firstLineChars="200"/>
        <w:rPr>
          <w:rFonts w:ascii="宋体" w:hAnsi="宋体" w:eastAsia="宋体" w:cs="宋体e眠副浡渀."/>
          <w:color w:val="000000"/>
          <w:kern w:val="0"/>
          <w:sz w:val="24"/>
        </w:rPr>
      </w:pPr>
      <w:r>
        <w:rPr>
          <w:rFonts w:hint="eastAsia" w:ascii="宋体" w:hAnsi="宋体" w:eastAsia="宋体" w:cs="宋体"/>
          <w:b/>
          <w:spacing w:val="10"/>
          <w:kern w:val="0"/>
          <w:sz w:val="24"/>
        </w:rPr>
        <w:t>3.重点：</w:t>
      </w:r>
      <w:r>
        <w:rPr>
          <w:rFonts w:hint="eastAsia" w:ascii="宋体" w:hAnsi="宋体" w:eastAsia="宋体" w:cs="宋体e眠副浡渀."/>
          <w:color w:val="000000"/>
          <w:kern w:val="0"/>
          <w:sz w:val="24"/>
        </w:rPr>
        <w:t>为什么要建设生态文明，人与自然是人类共同体要求我们要建设生态文明；加快形成绿色生产方式和生活方式；共建清洁美丽世界”的中国方案。</w:t>
      </w:r>
    </w:p>
    <w:p>
      <w:pPr>
        <w:adjustRightInd w:val="0"/>
        <w:snapToGrid w:val="0"/>
        <w:spacing w:line="420" w:lineRule="exact"/>
        <w:ind w:firstLine="522" w:firstLineChars="200"/>
        <w:rPr>
          <w:rFonts w:ascii="宋体" w:hAnsi="宋体" w:eastAsia="宋体" w:cs="宋体e眠副浡渀."/>
          <w:color w:val="000000"/>
          <w:kern w:val="0"/>
          <w:sz w:val="24"/>
        </w:rPr>
      </w:pPr>
      <w:r>
        <w:rPr>
          <w:rFonts w:hint="eastAsia" w:ascii="宋体" w:hAnsi="宋体" w:eastAsia="宋体" w:cs="宋体"/>
          <w:b/>
          <w:spacing w:val="10"/>
          <w:kern w:val="0"/>
          <w:sz w:val="24"/>
        </w:rPr>
        <w:t>4.难点：</w:t>
      </w:r>
      <w:r>
        <w:rPr>
          <w:rFonts w:hint="eastAsia" w:ascii="宋体" w:hAnsi="宋体" w:eastAsia="宋体" w:cs="宋体e眠副浡渀."/>
          <w:color w:val="000000"/>
          <w:kern w:val="0"/>
          <w:sz w:val="24"/>
        </w:rPr>
        <w:t>绿水青山就是金山银山的科学内涵；理解用最严格制度最严密法治保护生态环境。</w:t>
      </w:r>
    </w:p>
    <w:p>
      <w:pPr>
        <w:adjustRightInd w:val="0"/>
        <w:snapToGrid w:val="0"/>
        <w:spacing w:line="420" w:lineRule="exact"/>
        <w:ind w:firstLine="522" w:firstLineChars="200"/>
        <w:rPr>
          <w:rFonts w:ascii="宋体" w:hAnsi="宋体" w:eastAsia="宋体" w:cs="宋体"/>
          <w:b/>
          <w:spacing w:val="10"/>
          <w:kern w:val="0"/>
          <w:sz w:val="24"/>
        </w:rPr>
      </w:pPr>
      <w:r>
        <w:rPr>
          <w:rFonts w:hint="eastAsia" w:ascii="宋体" w:hAnsi="宋体" w:eastAsia="宋体" w:cs="宋体"/>
          <w:b/>
          <w:spacing w:val="10"/>
          <w:kern w:val="0"/>
          <w:sz w:val="24"/>
        </w:rPr>
        <w:t>内容14：维护和塑造国家安全</w:t>
      </w:r>
    </w:p>
    <w:p>
      <w:pPr>
        <w:adjustRightInd w:val="0"/>
        <w:snapToGrid w:val="0"/>
        <w:spacing w:line="420" w:lineRule="exact"/>
        <w:ind w:firstLine="522" w:firstLineChars="200"/>
        <w:rPr>
          <w:rFonts w:ascii="宋体" w:hAnsi="宋体" w:eastAsia="宋体" w:cs="宋体e眠副浡渀."/>
          <w:color w:val="000000"/>
          <w:kern w:val="0"/>
          <w:sz w:val="24"/>
        </w:rPr>
      </w:pPr>
      <w:r>
        <w:rPr>
          <w:rFonts w:hint="eastAsia" w:ascii="宋体" w:hAnsi="宋体" w:eastAsia="宋体" w:cs="宋体"/>
          <w:b/>
          <w:spacing w:val="10"/>
          <w:kern w:val="0"/>
          <w:sz w:val="24"/>
        </w:rPr>
        <w:t>1.基本内容：</w:t>
      </w:r>
      <w:r>
        <w:rPr>
          <w:rFonts w:ascii="宋体" w:hAnsi="宋体" w:eastAsia="宋体" w:cs="宋体"/>
          <w:sz w:val="24"/>
        </w:rPr>
        <w:t>国家安全是民族复兴的根基</w:t>
      </w:r>
      <w:r>
        <w:rPr>
          <w:rFonts w:hint="eastAsia" w:ascii="宋体" w:hAnsi="宋体" w:eastAsia="宋体" w:cs="宋体"/>
          <w:sz w:val="24"/>
        </w:rPr>
        <w:t>；</w:t>
      </w:r>
      <w:r>
        <w:rPr>
          <w:rFonts w:ascii="宋体" w:hAnsi="宋体" w:eastAsia="宋体" w:cs="宋体"/>
          <w:sz w:val="24"/>
        </w:rPr>
        <w:t>总体国家安全观的丰富内涵和指导意义</w:t>
      </w:r>
      <w:r>
        <w:rPr>
          <w:rFonts w:hint="eastAsia" w:ascii="宋体" w:hAnsi="宋体" w:eastAsia="宋体" w:cs="宋体"/>
          <w:sz w:val="24"/>
        </w:rPr>
        <w:t>；</w:t>
      </w:r>
      <w:r>
        <w:rPr>
          <w:rFonts w:ascii="宋体" w:hAnsi="宋体" w:eastAsia="宋体" w:cs="宋体"/>
          <w:sz w:val="24"/>
        </w:rPr>
        <w:t>构建统筹各领域安全的新安全格局</w:t>
      </w:r>
      <w:r>
        <w:rPr>
          <w:rFonts w:hint="eastAsia" w:ascii="宋体" w:hAnsi="宋体" w:eastAsia="宋体" w:cs="宋体"/>
          <w:sz w:val="24"/>
        </w:rPr>
        <w:t>；</w:t>
      </w:r>
      <w:r>
        <w:rPr>
          <w:rFonts w:ascii="宋体" w:hAnsi="宋体" w:eastAsia="宋体" w:cs="宋体"/>
          <w:sz w:val="24"/>
        </w:rPr>
        <w:t>推进国家安全体系和能力现代化</w:t>
      </w:r>
      <w:r>
        <w:rPr>
          <w:rFonts w:hint="eastAsia" w:ascii="宋体" w:hAnsi="宋体" w:eastAsia="宋体" w:cs="宋体"/>
          <w:sz w:val="24"/>
        </w:rPr>
        <w:t>。</w:t>
      </w:r>
    </w:p>
    <w:p>
      <w:pPr>
        <w:adjustRightInd w:val="0"/>
        <w:snapToGrid w:val="0"/>
        <w:spacing w:line="420" w:lineRule="exact"/>
        <w:ind w:firstLine="522" w:firstLineChars="200"/>
        <w:rPr>
          <w:rFonts w:ascii="宋体" w:hAnsi="宋体" w:eastAsia="宋体" w:cs="宋体"/>
          <w:b/>
          <w:spacing w:val="10"/>
          <w:kern w:val="0"/>
          <w:sz w:val="24"/>
        </w:rPr>
      </w:pPr>
      <w:r>
        <w:rPr>
          <w:rFonts w:hint="eastAsia" w:ascii="宋体" w:hAnsi="宋体" w:eastAsia="宋体" w:cs="宋体"/>
          <w:b/>
          <w:spacing w:val="10"/>
          <w:kern w:val="0"/>
          <w:sz w:val="24"/>
        </w:rPr>
        <w:t>2.基本要求：</w:t>
      </w:r>
      <w:r>
        <w:rPr>
          <w:rFonts w:hint="eastAsia" w:ascii="宋体" w:hAnsi="宋体" w:eastAsia="宋体" w:cs="宋体"/>
          <w:sz w:val="24"/>
        </w:rPr>
        <w:t>掌握总体国家安全观的内涵；理解新时代国家安全何以如此重要的问题，理解如何构建新安全格局；把握如何开创新时代国家安全工作新局面。</w:t>
      </w:r>
    </w:p>
    <w:p>
      <w:pPr>
        <w:adjustRightInd w:val="0"/>
        <w:snapToGrid w:val="0"/>
        <w:spacing w:line="420" w:lineRule="exact"/>
        <w:ind w:firstLine="522" w:firstLineChars="200"/>
        <w:rPr>
          <w:rFonts w:ascii="宋体" w:hAnsi="宋体" w:eastAsia="宋体" w:cs="宋体"/>
          <w:sz w:val="24"/>
        </w:rPr>
      </w:pPr>
      <w:r>
        <w:rPr>
          <w:rFonts w:hint="eastAsia" w:ascii="宋体" w:hAnsi="宋体" w:eastAsia="宋体" w:cs="宋体"/>
          <w:b/>
          <w:spacing w:val="10"/>
          <w:kern w:val="0"/>
          <w:sz w:val="24"/>
        </w:rPr>
        <w:t>3.重点：</w:t>
      </w:r>
      <w:r>
        <w:rPr>
          <w:rFonts w:hint="eastAsia" w:ascii="宋体" w:hAnsi="宋体" w:eastAsia="宋体" w:cs="宋体"/>
          <w:sz w:val="24"/>
        </w:rPr>
        <w:t>新时代国家安全工作何以如此重要；发展与安全的关系，如何实现高质量发展与高水平安全良性互动，相得益彰。</w:t>
      </w:r>
    </w:p>
    <w:p>
      <w:pPr>
        <w:adjustRightInd w:val="0"/>
        <w:snapToGrid w:val="0"/>
        <w:spacing w:line="420" w:lineRule="exact"/>
        <w:ind w:firstLine="522" w:firstLineChars="200"/>
        <w:rPr>
          <w:rFonts w:ascii="宋体" w:hAnsi="宋体" w:eastAsia="宋体" w:cs="宋体e眠副浡渀."/>
          <w:color w:val="000000"/>
          <w:kern w:val="0"/>
          <w:sz w:val="24"/>
        </w:rPr>
      </w:pPr>
      <w:r>
        <w:rPr>
          <w:rFonts w:hint="eastAsia" w:ascii="宋体" w:hAnsi="宋体" w:eastAsia="宋体" w:cs="宋体"/>
          <w:b/>
          <w:spacing w:val="10"/>
          <w:kern w:val="0"/>
          <w:sz w:val="24"/>
        </w:rPr>
        <w:t>4.难点：</w:t>
      </w:r>
      <w:r>
        <w:rPr>
          <w:rFonts w:hint="eastAsia" w:ascii="宋体" w:hAnsi="宋体" w:eastAsia="宋体" w:cs="宋体"/>
          <w:sz w:val="24"/>
        </w:rPr>
        <w:t>为什么要把维护政治安全放在首位。</w:t>
      </w:r>
    </w:p>
    <w:p>
      <w:pPr>
        <w:adjustRightInd w:val="0"/>
        <w:snapToGrid w:val="0"/>
        <w:spacing w:line="420" w:lineRule="exact"/>
        <w:ind w:firstLine="522" w:firstLineChars="200"/>
        <w:rPr>
          <w:rFonts w:ascii="宋体" w:hAnsi="宋体" w:eastAsia="宋体" w:cs="宋体"/>
          <w:b/>
          <w:spacing w:val="10"/>
          <w:kern w:val="0"/>
          <w:sz w:val="24"/>
        </w:rPr>
      </w:pPr>
      <w:r>
        <w:rPr>
          <w:rFonts w:hint="eastAsia" w:ascii="宋体" w:hAnsi="宋体" w:eastAsia="宋体" w:cs="宋体"/>
          <w:b/>
          <w:spacing w:val="10"/>
          <w:kern w:val="0"/>
          <w:sz w:val="24"/>
        </w:rPr>
        <w:t>内容15：建设巩固国防和强大人民军队</w:t>
      </w:r>
    </w:p>
    <w:p>
      <w:pPr>
        <w:adjustRightInd w:val="0"/>
        <w:snapToGrid w:val="0"/>
        <w:spacing w:line="420" w:lineRule="exact"/>
        <w:ind w:firstLine="522" w:firstLineChars="200"/>
        <w:rPr>
          <w:rFonts w:ascii="宋体" w:hAnsi="宋体" w:eastAsia="宋体" w:cs="宋体"/>
          <w:sz w:val="24"/>
        </w:rPr>
      </w:pPr>
      <w:r>
        <w:rPr>
          <w:rFonts w:hint="eastAsia" w:ascii="宋体" w:hAnsi="宋体" w:eastAsia="宋体" w:cs="宋体"/>
          <w:b/>
          <w:spacing w:val="10"/>
          <w:kern w:val="0"/>
          <w:sz w:val="24"/>
        </w:rPr>
        <w:t>1.基本内容：</w:t>
      </w:r>
      <w:r>
        <w:rPr>
          <w:rFonts w:hint="eastAsia" w:ascii="宋体" w:hAnsi="宋体" w:eastAsia="宋体" w:cs="宋体"/>
          <w:sz w:val="24"/>
        </w:rPr>
        <w:t>建设巩固国防和强大人民军队的重大意义；党在新时代的强军目标；坚持党对人民军队绝对领导的根本原则和制度。</w:t>
      </w:r>
    </w:p>
    <w:p>
      <w:pPr>
        <w:widowControl/>
        <w:adjustRightInd w:val="0"/>
        <w:spacing w:beforeLines="50" w:afterLines="50" w:line="400" w:lineRule="exact"/>
        <w:ind w:firstLine="431" w:firstLineChars="165"/>
        <w:jc w:val="left"/>
        <w:rPr>
          <w:rFonts w:ascii="宋体" w:hAnsi="宋体" w:eastAsia="宋体" w:cs="宋体"/>
          <w:sz w:val="24"/>
        </w:rPr>
      </w:pPr>
      <w:r>
        <w:rPr>
          <w:rFonts w:hint="eastAsia" w:ascii="宋体" w:hAnsi="宋体" w:eastAsia="宋体" w:cs="宋体"/>
          <w:b/>
          <w:spacing w:val="10"/>
          <w:kern w:val="0"/>
          <w:sz w:val="24"/>
        </w:rPr>
        <w:t>2.基本要求：</w:t>
      </w:r>
      <w:r>
        <w:rPr>
          <w:rFonts w:hint="eastAsia" w:ascii="宋体" w:hAnsi="宋体" w:eastAsia="宋体" w:cs="宋体"/>
          <w:sz w:val="24"/>
        </w:rPr>
        <w:t>理解为什么强国必须强军，理解军强才能国安；掌握新时代强军目标的科学内涵和战略安排；了解中国特色国防与军队现代化。认识建设巩固国防和强大人民军队的重大意义。</w:t>
      </w:r>
    </w:p>
    <w:p>
      <w:pPr>
        <w:adjustRightInd w:val="0"/>
        <w:snapToGrid w:val="0"/>
        <w:spacing w:line="420" w:lineRule="exact"/>
        <w:ind w:firstLine="522" w:firstLineChars="200"/>
        <w:rPr>
          <w:rFonts w:ascii="宋体" w:hAnsi="宋体" w:eastAsia="宋体" w:cs="宋体"/>
          <w:sz w:val="24"/>
        </w:rPr>
      </w:pPr>
      <w:r>
        <w:rPr>
          <w:rFonts w:hint="eastAsia" w:ascii="宋体" w:hAnsi="宋体" w:eastAsia="宋体" w:cs="宋体"/>
          <w:b/>
          <w:spacing w:val="10"/>
          <w:kern w:val="0"/>
          <w:sz w:val="24"/>
        </w:rPr>
        <w:t>3.重点：</w:t>
      </w:r>
      <w:r>
        <w:rPr>
          <w:rFonts w:hint="eastAsia" w:ascii="宋体" w:hAnsi="宋体" w:eastAsia="宋体" w:cs="宋体"/>
          <w:sz w:val="24"/>
        </w:rPr>
        <w:t>新时代人民军队的使命任务决定了军强才能国安；新时代强军目标的科学内涵；坚持党对人民军队的绝对领导。</w:t>
      </w:r>
    </w:p>
    <w:p>
      <w:pPr>
        <w:adjustRightInd w:val="0"/>
        <w:snapToGrid w:val="0"/>
        <w:spacing w:line="420" w:lineRule="exact"/>
        <w:ind w:firstLine="522" w:firstLineChars="200"/>
        <w:rPr>
          <w:rFonts w:ascii="宋体" w:hAnsi="宋体" w:eastAsia="宋体" w:cs="宋体"/>
          <w:sz w:val="24"/>
        </w:rPr>
      </w:pPr>
      <w:r>
        <w:rPr>
          <w:rFonts w:hint="eastAsia" w:ascii="宋体" w:hAnsi="宋体" w:eastAsia="宋体" w:cs="宋体"/>
          <w:b/>
          <w:spacing w:val="10"/>
          <w:kern w:val="0"/>
          <w:sz w:val="24"/>
        </w:rPr>
        <w:t>4.难点：</w:t>
      </w:r>
      <w:r>
        <w:rPr>
          <w:rFonts w:hint="eastAsia" w:ascii="宋体" w:hAnsi="宋体" w:eastAsia="宋体" w:cs="宋体"/>
          <w:sz w:val="24"/>
        </w:rPr>
        <w:t>全面推进国防和军队现代化安排；坚持政治建军、改革强军、科技强军、人才强军、依法治军。</w:t>
      </w:r>
    </w:p>
    <w:p>
      <w:pPr>
        <w:adjustRightInd w:val="0"/>
        <w:snapToGrid w:val="0"/>
        <w:spacing w:line="420" w:lineRule="exact"/>
        <w:ind w:firstLine="522" w:firstLineChars="200"/>
        <w:rPr>
          <w:rFonts w:ascii="宋体" w:hAnsi="宋体" w:eastAsia="宋体" w:cs="宋体"/>
          <w:b/>
          <w:spacing w:val="10"/>
          <w:kern w:val="0"/>
          <w:sz w:val="24"/>
        </w:rPr>
      </w:pPr>
      <w:r>
        <w:rPr>
          <w:rFonts w:hint="eastAsia" w:ascii="宋体" w:hAnsi="宋体" w:eastAsia="宋体" w:cs="宋体"/>
          <w:b/>
          <w:spacing w:val="10"/>
          <w:kern w:val="0"/>
          <w:sz w:val="24"/>
        </w:rPr>
        <w:t>内容16：坚持“一国两制”和推进祖国完全统一</w:t>
      </w:r>
    </w:p>
    <w:p>
      <w:pPr>
        <w:adjustRightInd w:val="0"/>
        <w:snapToGrid w:val="0"/>
        <w:spacing w:line="420" w:lineRule="exact"/>
        <w:ind w:firstLine="522" w:firstLineChars="200"/>
        <w:rPr>
          <w:rFonts w:ascii="宋体" w:hAnsi="宋体" w:eastAsia="宋体" w:cs="宋体"/>
          <w:sz w:val="24"/>
        </w:rPr>
      </w:pPr>
      <w:r>
        <w:rPr>
          <w:rFonts w:hint="eastAsia" w:ascii="宋体" w:hAnsi="宋体" w:eastAsia="宋体" w:cs="宋体"/>
          <w:b/>
          <w:spacing w:val="10"/>
          <w:kern w:val="0"/>
          <w:sz w:val="24"/>
        </w:rPr>
        <w:t>1.基本内容：</w:t>
      </w:r>
      <w:r>
        <w:rPr>
          <w:rFonts w:ascii="宋体" w:hAnsi="宋体" w:eastAsia="宋体" w:cs="宋体"/>
          <w:sz w:val="24"/>
        </w:rPr>
        <w:t>“一国两制”的科学内涵和重大意义</w:t>
      </w:r>
      <w:r>
        <w:rPr>
          <w:rFonts w:hint="eastAsia" w:ascii="宋体" w:hAnsi="宋体" w:eastAsia="宋体" w:cs="宋体"/>
          <w:sz w:val="24"/>
        </w:rPr>
        <w:t>；</w:t>
      </w:r>
      <w:r>
        <w:rPr>
          <w:rFonts w:ascii="宋体" w:hAnsi="宋体" w:eastAsia="宋体" w:cs="宋体"/>
          <w:sz w:val="24"/>
        </w:rPr>
        <w:t>新时代“一国两制”在香港、澳门的成功实践</w:t>
      </w:r>
      <w:r>
        <w:rPr>
          <w:rFonts w:hint="eastAsia" w:ascii="宋体" w:hAnsi="宋体" w:eastAsia="宋体" w:cs="宋体"/>
          <w:sz w:val="24"/>
        </w:rPr>
        <w:t>；</w:t>
      </w:r>
      <w:r>
        <w:rPr>
          <w:rFonts w:ascii="宋体" w:hAnsi="宋体" w:eastAsia="宋体" w:cs="宋体"/>
          <w:sz w:val="24"/>
        </w:rPr>
        <w:t>新时代党解决台湾问题的总体方略</w:t>
      </w:r>
      <w:r>
        <w:rPr>
          <w:rFonts w:hint="eastAsia" w:ascii="宋体" w:hAnsi="宋体" w:eastAsia="宋体" w:cs="宋体"/>
          <w:sz w:val="24"/>
        </w:rPr>
        <w:t>。</w:t>
      </w:r>
    </w:p>
    <w:p>
      <w:pPr>
        <w:adjustRightInd w:val="0"/>
        <w:snapToGrid w:val="0"/>
        <w:spacing w:line="420" w:lineRule="exact"/>
        <w:ind w:firstLine="522" w:firstLineChars="200"/>
        <w:rPr>
          <w:rFonts w:hint="eastAsia" w:ascii="宋体" w:hAnsi="宋体" w:eastAsia="宋体" w:cs="宋体"/>
          <w:sz w:val="24"/>
        </w:rPr>
      </w:pPr>
      <w:r>
        <w:rPr>
          <w:rFonts w:hint="eastAsia" w:ascii="宋体" w:hAnsi="宋体" w:eastAsia="宋体" w:cs="宋体"/>
          <w:b/>
          <w:spacing w:val="10"/>
          <w:kern w:val="0"/>
          <w:sz w:val="24"/>
        </w:rPr>
        <w:t>2.基本要求：</w:t>
      </w:r>
      <w:r>
        <w:rPr>
          <w:rFonts w:hint="eastAsia" w:ascii="宋体" w:hAnsi="宋体" w:eastAsia="宋体" w:cs="宋体"/>
          <w:sz w:val="24"/>
        </w:rPr>
        <w:t>理解全面准确理解和贯彻‘一国两制’方针；掌握“一国两制”在港澳的成功实践和深刻启示；明白我们党解决台湾问题的总体战略和发展大势。掌握“一国两制”的科学内涵和重大意义，认识新时代党解决台湾问题的总体方略。</w:t>
      </w:r>
    </w:p>
    <w:p>
      <w:pPr>
        <w:widowControl/>
        <w:spacing w:line="460" w:lineRule="exact"/>
        <w:ind w:firstLine="522" w:firstLineChars="200"/>
        <w:jc w:val="left"/>
        <w:rPr>
          <w:rFonts w:ascii="宋体" w:hAnsi="宋体" w:cs="宋体"/>
          <w:bCs/>
          <w:kern w:val="0"/>
          <w:sz w:val="24"/>
        </w:rPr>
      </w:pPr>
      <w:r>
        <w:rPr>
          <w:rFonts w:hint="eastAsia" w:ascii="宋体" w:hAnsi="宋体" w:eastAsia="宋体" w:cs="宋体"/>
          <w:b/>
          <w:spacing w:val="10"/>
          <w:kern w:val="0"/>
          <w:sz w:val="24"/>
        </w:rPr>
        <w:t>3.重点：</w:t>
      </w:r>
      <w:r>
        <w:rPr>
          <w:rFonts w:hint="eastAsia" w:ascii="宋体" w:hAnsi="宋体" w:cs="宋体"/>
          <w:bCs/>
          <w:kern w:val="0"/>
          <w:sz w:val="24"/>
        </w:rPr>
        <w:t>“一国两制”的重大意义和科学内涵</w:t>
      </w:r>
      <w:bookmarkStart w:id="0" w:name="_Hlk155514758"/>
      <w:r>
        <w:rPr>
          <w:rFonts w:hint="eastAsia" w:ascii="宋体" w:hAnsi="宋体" w:cs="宋体"/>
          <w:bCs/>
          <w:kern w:val="0"/>
          <w:sz w:val="24"/>
        </w:rPr>
        <w:t>；新时代“一国两制”在香港、澳门的成功实践</w:t>
      </w:r>
      <w:bookmarkEnd w:id="0"/>
      <w:r>
        <w:rPr>
          <w:rFonts w:hint="eastAsia" w:ascii="宋体" w:hAnsi="宋体" w:cs="宋体"/>
          <w:bCs/>
          <w:kern w:val="0"/>
          <w:sz w:val="24"/>
        </w:rPr>
        <w:t>；新时代党解决台湾问题的总体方略。</w:t>
      </w:r>
    </w:p>
    <w:p>
      <w:pPr>
        <w:widowControl/>
        <w:spacing w:line="460" w:lineRule="exact"/>
        <w:ind w:firstLine="522" w:firstLineChars="200"/>
        <w:jc w:val="left"/>
        <w:rPr>
          <w:rFonts w:ascii="宋体" w:hAnsi="宋体" w:cs="宋体"/>
          <w:bCs/>
          <w:kern w:val="0"/>
          <w:sz w:val="24"/>
        </w:rPr>
      </w:pPr>
      <w:r>
        <w:rPr>
          <w:rFonts w:hint="eastAsia" w:ascii="宋体" w:hAnsi="宋体" w:eastAsia="宋体" w:cs="宋体"/>
          <w:b/>
          <w:spacing w:val="10"/>
          <w:kern w:val="0"/>
          <w:sz w:val="24"/>
        </w:rPr>
        <w:t>4.难点：</w:t>
      </w:r>
      <w:r>
        <w:rPr>
          <w:rFonts w:hint="eastAsia" w:ascii="宋体" w:hAnsi="宋体" w:cs="宋体"/>
          <w:bCs/>
          <w:kern w:val="0"/>
          <w:sz w:val="24"/>
        </w:rPr>
        <w:t>如何全面准确理解“一国”和“两制”的关系；为什么说祖国完全统一的时和势始终在我们这一边——如何牢牢把握两岸关系主导权和主动权。</w:t>
      </w:r>
    </w:p>
    <w:p>
      <w:pPr>
        <w:adjustRightInd w:val="0"/>
        <w:snapToGrid w:val="0"/>
        <w:spacing w:line="420" w:lineRule="exact"/>
        <w:ind w:firstLine="522" w:firstLineChars="200"/>
        <w:rPr>
          <w:rFonts w:ascii="宋体" w:hAnsi="宋体" w:eastAsia="宋体" w:cs="宋体"/>
          <w:b/>
          <w:spacing w:val="10"/>
          <w:kern w:val="0"/>
          <w:sz w:val="24"/>
        </w:rPr>
      </w:pPr>
      <w:r>
        <w:rPr>
          <w:rFonts w:hint="eastAsia" w:ascii="宋体" w:hAnsi="宋体" w:eastAsia="宋体" w:cs="宋体"/>
          <w:b/>
          <w:spacing w:val="10"/>
          <w:kern w:val="0"/>
          <w:sz w:val="24"/>
        </w:rPr>
        <w:t>内容17：中国特色大国外交和推动构建人类命运共同体</w:t>
      </w:r>
    </w:p>
    <w:p>
      <w:pPr>
        <w:adjustRightInd w:val="0"/>
        <w:snapToGrid w:val="0"/>
        <w:spacing w:line="420" w:lineRule="exact"/>
        <w:ind w:firstLine="522" w:firstLineChars="200"/>
        <w:rPr>
          <w:rFonts w:ascii="宋体" w:hAnsi="宋体" w:eastAsia="宋体" w:cs="宋体"/>
          <w:sz w:val="24"/>
        </w:rPr>
      </w:pPr>
      <w:r>
        <w:rPr>
          <w:rFonts w:hint="eastAsia" w:ascii="宋体" w:hAnsi="宋体" w:eastAsia="宋体" w:cs="宋体"/>
          <w:b/>
          <w:spacing w:val="10"/>
          <w:kern w:val="0"/>
          <w:sz w:val="24"/>
        </w:rPr>
        <w:t>1.基本内容：</w:t>
      </w:r>
      <w:r>
        <w:rPr>
          <w:rFonts w:hint="eastAsia" w:ascii="宋体" w:hAnsi="宋体" w:eastAsia="宋体" w:cs="宋体"/>
          <w:sz w:val="24"/>
        </w:rPr>
        <w:t>当今世界正经历百年未有之大变局；全面推进中国特色大国外交的原则和布局；推动构建人类命运共同体的丰富内涵和实践成果。</w:t>
      </w:r>
    </w:p>
    <w:p>
      <w:pPr>
        <w:widowControl/>
        <w:adjustRightInd w:val="0"/>
        <w:spacing w:beforeLines="50" w:afterLines="50" w:line="400" w:lineRule="exact"/>
        <w:ind w:firstLine="558" w:firstLineChars="214"/>
        <w:jc w:val="left"/>
        <w:rPr>
          <w:rFonts w:ascii="宋体" w:hAnsi="宋体" w:eastAsia="宋体" w:cs="宋体"/>
          <w:sz w:val="24"/>
        </w:rPr>
      </w:pPr>
      <w:r>
        <w:rPr>
          <w:rFonts w:hint="eastAsia" w:ascii="宋体" w:hAnsi="宋体" w:eastAsia="宋体" w:cs="宋体"/>
          <w:b/>
          <w:spacing w:val="10"/>
          <w:kern w:val="0"/>
          <w:sz w:val="24"/>
        </w:rPr>
        <w:t>2.基本要求：</w:t>
      </w:r>
      <w:r>
        <w:rPr>
          <w:rFonts w:hint="eastAsia" w:ascii="宋体" w:hAnsi="宋体" w:eastAsia="宋体" w:cs="宋体"/>
          <w:sz w:val="24"/>
        </w:rPr>
        <w:t>理解世界正在经历百年未有大变局；掌握面对世界百年未有大变局，中国回答和解决这个时代之问、世界之问的中国方案；理解新时代中国特色大国外交的核心内容。掌握全面推进中国特色大国外交的原则和布局，理解推动构建人类命运共同体的丰富内涵。</w:t>
      </w:r>
    </w:p>
    <w:p>
      <w:pPr>
        <w:widowControl/>
        <w:spacing w:line="460" w:lineRule="exact"/>
        <w:ind w:firstLine="522" w:firstLineChars="200"/>
        <w:jc w:val="left"/>
        <w:rPr>
          <w:rFonts w:ascii="宋体" w:hAnsi="宋体" w:cs="宋体"/>
          <w:bCs/>
          <w:kern w:val="0"/>
          <w:sz w:val="24"/>
        </w:rPr>
      </w:pPr>
      <w:r>
        <w:rPr>
          <w:rFonts w:hint="eastAsia" w:ascii="宋体" w:hAnsi="宋体" w:eastAsia="宋体" w:cs="宋体"/>
          <w:b/>
          <w:spacing w:val="10"/>
          <w:kern w:val="0"/>
          <w:sz w:val="24"/>
        </w:rPr>
        <w:t>3.重点：</w:t>
      </w:r>
      <w:r>
        <w:rPr>
          <w:rFonts w:hint="eastAsia" w:ascii="宋体" w:hAnsi="宋体" w:cs="宋体"/>
          <w:bCs/>
          <w:kern w:val="0"/>
          <w:sz w:val="24"/>
        </w:rPr>
        <w:t>人类命运共同体的科学内涵；新时代中国特色大国外交的核心内容。</w:t>
      </w:r>
    </w:p>
    <w:p>
      <w:pPr>
        <w:widowControl/>
        <w:spacing w:line="460" w:lineRule="exact"/>
        <w:ind w:firstLine="522" w:firstLineChars="200"/>
        <w:jc w:val="left"/>
        <w:rPr>
          <w:rFonts w:ascii="宋体" w:hAnsi="宋体" w:cs="宋体"/>
          <w:bCs/>
          <w:kern w:val="0"/>
          <w:sz w:val="24"/>
        </w:rPr>
      </w:pPr>
      <w:r>
        <w:rPr>
          <w:rFonts w:hint="eastAsia" w:ascii="宋体" w:hAnsi="宋体" w:eastAsia="宋体" w:cs="宋体"/>
          <w:b/>
          <w:spacing w:val="10"/>
          <w:kern w:val="0"/>
          <w:sz w:val="24"/>
        </w:rPr>
        <w:t>4.难点：</w:t>
      </w:r>
      <w:r>
        <w:rPr>
          <w:rFonts w:hint="eastAsia" w:ascii="宋体" w:hAnsi="宋体" w:cs="宋体"/>
          <w:bCs/>
          <w:kern w:val="0"/>
          <w:sz w:val="24"/>
        </w:rPr>
        <w:t>世界百年未有之大变局；全人类共同价值与“三大倡议”。</w:t>
      </w:r>
    </w:p>
    <w:p>
      <w:pPr>
        <w:adjustRightInd w:val="0"/>
        <w:snapToGrid w:val="0"/>
        <w:spacing w:line="420" w:lineRule="exact"/>
        <w:ind w:firstLine="522" w:firstLineChars="200"/>
        <w:rPr>
          <w:rFonts w:ascii="宋体" w:hAnsi="宋体" w:eastAsia="宋体" w:cs="宋体"/>
          <w:b/>
          <w:spacing w:val="10"/>
          <w:kern w:val="0"/>
          <w:sz w:val="24"/>
        </w:rPr>
      </w:pPr>
      <w:r>
        <w:rPr>
          <w:rFonts w:hint="eastAsia" w:ascii="宋体" w:hAnsi="宋体" w:eastAsia="宋体" w:cs="宋体"/>
          <w:b/>
          <w:spacing w:val="10"/>
          <w:kern w:val="0"/>
          <w:sz w:val="24"/>
        </w:rPr>
        <w:t>内容18：全面从严治党</w:t>
      </w:r>
    </w:p>
    <w:p>
      <w:pPr>
        <w:adjustRightInd w:val="0"/>
        <w:snapToGrid w:val="0"/>
        <w:spacing w:line="420" w:lineRule="exact"/>
        <w:ind w:firstLine="522" w:firstLineChars="200"/>
        <w:rPr>
          <w:rFonts w:ascii="宋体" w:hAnsi="宋体" w:eastAsia="宋体" w:cs="宋体"/>
          <w:bCs/>
          <w:kern w:val="0"/>
          <w:sz w:val="24"/>
        </w:rPr>
      </w:pPr>
      <w:r>
        <w:rPr>
          <w:rFonts w:hint="eastAsia" w:ascii="宋体" w:hAnsi="宋体" w:eastAsia="宋体" w:cs="宋体"/>
          <w:b/>
          <w:spacing w:val="10"/>
          <w:kern w:val="0"/>
          <w:sz w:val="24"/>
        </w:rPr>
        <w:t>1.基本内容：</w:t>
      </w:r>
      <w:r>
        <w:rPr>
          <w:rFonts w:ascii="宋体" w:hAnsi="宋体" w:eastAsia="宋体" w:cs="宋体"/>
          <w:sz w:val="24"/>
        </w:rPr>
        <w:t>全面从严治党是新时代党的建设的鲜明主题</w:t>
      </w:r>
      <w:r>
        <w:rPr>
          <w:rFonts w:hint="eastAsia" w:ascii="宋体" w:hAnsi="宋体" w:eastAsia="宋体" w:cs="宋体"/>
          <w:sz w:val="24"/>
        </w:rPr>
        <w:t>；</w:t>
      </w:r>
      <w:r>
        <w:rPr>
          <w:rFonts w:ascii="宋体" w:hAnsi="宋体" w:eastAsia="宋体" w:cs="宋体"/>
          <w:sz w:val="24"/>
        </w:rPr>
        <w:t>以党的政治建设统领党的建设各项工作</w:t>
      </w:r>
      <w:r>
        <w:rPr>
          <w:rFonts w:hint="eastAsia" w:ascii="宋体" w:hAnsi="宋体" w:eastAsia="宋体" w:cs="宋体"/>
          <w:sz w:val="24"/>
        </w:rPr>
        <w:t>；</w:t>
      </w:r>
      <w:r>
        <w:rPr>
          <w:rFonts w:ascii="宋体" w:hAnsi="宋体" w:eastAsia="宋体" w:cs="宋体"/>
          <w:sz w:val="24"/>
        </w:rPr>
        <w:t>反腐败斗争取得压倒性胜利并全面巩固</w:t>
      </w:r>
      <w:r>
        <w:rPr>
          <w:rFonts w:hint="eastAsia" w:ascii="宋体" w:hAnsi="宋体" w:eastAsia="宋体" w:cs="宋体"/>
          <w:sz w:val="24"/>
        </w:rPr>
        <w:t>；</w:t>
      </w:r>
      <w:r>
        <w:rPr>
          <w:rFonts w:ascii="宋体" w:hAnsi="宋体" w:eastAsia="宋体" w:cs="宋体"/>
          <w:sz w:val="24"/>
        </w:rPr>
        <w:t>党的自我革命是跳出历史周期率的第二个答案</w:t>
      </w:r>
      <w:r>
        <w:rPr>
          <w:rFonts w:hint="eastAsia" w:ascii="宋体" w:hAnsi="宋体" w:eastAsia="宋体" w:cs="宋体"/>
          <w:sz w:val="24"/>
        </w:rPr>
        <w:t>。</w:t>
      </w:r>
    </w:p>
    <w:p>
      <w:pPr>
        <w:adjustRightInd w:val="0"/>
        <w:snapToGrid w:val="0"/>
        <w:spacing w:line="420" w:lineRule="exact"/>
        <w:ind w:firstLine="522" w:firstLineChars="200"/>
        <w:rPr>
          <w:rFonts w:ascii="宋体" w:hAnsi="宋体" w:cs="宋体"/>
          <w:bCs/>
          <w:kern w:val="0"/>
          <w:sz w:val="24"/>
        </w:rPr>
      </w:pPr>
      <w:r>
        <w:rPr>
          <w:rFonts w:hint="eastAsia" w:ascii="宋体" w:hAnsi="宋体" w:eastAsia="宋体" w:cs="宋体"/>
          <w:b/>
          <w:spacing w:val="10"/>
          <w:kern w:val="0"/>
          <w:sz w:val="24"/>
        </w:rPr>
        <w:t>2.基本要求：</w:t>
      </w:r>
      <w:r>
        <w:rPr>
          <w:rFonts w:hint="eastAsia" w:ascii="宋体" w:hAnsi="宋体" w:eastAsia="宋体" w:cs="宋体"/>
          <w:sz w:val="24"/>
        </w:rPr>
        <w:t>掌握新时代全面从严治党必然性及意义；理解全面从严治党的总要求及科学内涵；把握坚决打赢反腐败斗争攻坚战持久战。认识全面从严治党是党的一场自我革命，认识全面从严治党的伟大成就。</w:t>
      </w:r>
    </w:p>
    <w:p>
      <w:pPr>
        <w:widowControl/>
        <w:spacing w:line="460" w:lineRule="exact"/>
        <w:ind w:firstLine="522" w:firstLineChars="200"/>
        <w:jc w:val="left"/>
        <w:rPr>
          <w:rFonts w:ascii="宋体" w:hAnsi="宋体" w:eastAsia="宋体" w:cs="宋体"/>
          <w:b/>
          <w:spacing w:val="10"/>
          <w:kern w:val="0"/>
          <w:sz w:val="24"/>
        </w:rPr>
      </w:pPr>
      <w:r>
        <w:rPr>
          <w:rFonts w:hint="eastAsia" w:ascii="宋体" w:hAnsi="宋体" w:eastAsia="宋体" w:cs="宋体"/>
          <w:b/>
          <w:spacing w:val="10"/>
          <w:kern w:val="0"/>
          <w:sz w:val="24"/>
        </w:rPr>
        <w:t>3.重点：</w:t>
      </w:r>
      <w:r>
        <w:rPr>
          <w:rFonts w:hint="eastAsia" w:ascii="宋体" w:hAnsi="宋体" w:eastAsia="宋体" w:cs="宋体"/>
          <w:sz w:val="24"/>
        </w:rPr>
        <w:t>“四个伟大”的相互关系；自我革命是我党最大的优势和最鲜明品格；把党的政治建设摆在首位。</w:t>
      </w:r>
    </w:p>
    <w:p>
      <w:pPr>
        <w:widowControl/>
        <w:spacing w:line="460" w:lineRule="exact"/>
        <w:ind w:firstLine="522" w:firstLineChars="200"/>
        <w:jc w:val="left"/>
        <w:rPr>
          <w:rFonts w:ascii="宋体" w:hAnsi="宋体" w:cs="宋体"/>
          <w:bCs/>
          <w:kern w:val="0"/>
          <w:sz w:val="24"/>
        </w:rPr>
      </w:pPr>
      <w:r>
        <w:rPr>
          <w:rFonts w:hint="eastAsia" w:ascii="宋体" w:hAnsi="宋体" w:eastAsia="宋体" w:cs="宋体"/>
          <w:b/>
          <w:spacing w:val="10"/>
          <w:kern w:val="0"/>
          <w:sz w:val="24"/>
        </w:rPr>
        <w:t>4.难点：</w:t>
      </w:r>
      <w:r>
        <w:rPr>
          <w:rFonts w:hint="eastAsia" w:ascii="宋体" w:hAnsi="宋体" w:eastAsia="宋体" w:cs="宋体"/>
          <w:sz w:val="24"/>
        </w:rPr>
        <w:t>坚决打赢反腐败斗争攻坚战持久战。</w:t>
      </w:r>
    </w:p>
    <w:p>
      <w:pPr>
        <w:pStyle w:val="18"/>
        <w:numPr>
          <w:ilvl w:val="0"/>
          <w:numId w:val="3"/>
        </w:numPr>
        <w:spacing w:line="420" w:lineRule="exact"/>
        <w:ind w:firstLine="241" w:firstLineChars="1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实践教学部分</w:t>
      </w:r>
    </w:p>
    <w:p>
      <w:pPr>
        <w:pStyle w:val="18"/>
        <w:spacing w:line="420" w:lineRule="exact"/>
        <w:ind w:firstLine="481"/>
        <w:rPr>
          <w:rFonts w:asciiTheme="minorEastAsia" w:hAnsiTheme="minorEastAsia" w:eastAsiaTheme="minorEastAsia" w:cstheme="minorEastAsia"/>
          <w:b/>
          <w:bCs/>
        </w:rPr>
      </w:pPr>
      <w:r>
        <w:rPr>
          <w:rFonts w:hint="eastAsia" w:asciiTheme="minorEastAsia" w:hAnsiTheme="minorEastAsia" w:eastAsiaTheme="minorEastAsia" w:cstheme="minorEastAsia"/>
          <w:b/>
          <w:bCs/>
        </w:rPr>
        <w:t>选题1：大学生对进入新时代的理解和认知研究</w:t>
      </w:r>
    </w:p>
    <w:p>
      <w:pPr>
        <w:pStyle w:val="18"/>
        <w:numPr>
          <w:ilvl w:val="0"/>
          <w:numId w:val="4"/>
        </w:numPr>
        <w:spacing w:line="420" w:lineRule="exact"/>
        <w:ind w:firstLine="481"/>
        <w:rPr>
          <w:rFonts w:ascii="宋体" w:hAnsi="宋体" w:eastAsia="宋体" w:cs="宋体"/>
          <w:color w:val="auto"/>
          <w:kern w:val="2"/>
        </w:rPr>
      </w:pPr>
      <w:r>
        <w:rPr>
          <w:rFonts w:hint="eastAsia" w:ascii="宋体" w:hAnsi="宋体" w:eastAsia="宋体" w:cs="宋体"/>
          <w:color w:val="auto"/>
          <w:kern w:val="2"/>
        </w:rPr>
        <w:t>实践内容：对校大学生进行中国特色社会主义进入新生代的了解情况调查，求合理地设置调查问卷内容，分析调查中存在的问题，给出自己的解决方案。</w:t>
      </w:r>
    </w:p>
    <w:p>
      <w:pPr>
        <w:pStyle w:val="18"/>
        <w:numPr>
          <w:ilvl w:val="0"/>
          <w:numId w:val="4"/>
        </w:numPr>
        <w:spacing w:line="420" w:lineRule="exact"/>
        <w:ind w:firstLine="481"/>
        <w:rPr>
          <w:rFonts w:ascii="宋体" w:hAnsi="宋体" w:eastAsia="宋体" w:cs="宋体"/>
          <w:color w:val="auto"/>
          <w:kern w:val="2"/>
        </w:rPr>
      </w:pPr>
      <w:r>
        <w:rPr>
          <w:rFonts w:hint="eastAsia" w:ascii="宋体" w:hAnsi="宋体" w:eastAsia="宋体" w:cs="宋体"/>
          <w:color w:val="auto"/>
          <w:kern w:val="2"/>
        </w:rPr>
        <w:t>实践目标：提升学生对中国特色社会主义从何而来、有何不同、如何构成的认识；促使学生把握进入新时代后，中国特色社会主义现处在何方、有何内涵、取得何种成就，使得学生更加明白中国特色社会主义将要向何处去。</w:t>
      </w:r>
    </w:p>
    <w:p>
      <w:pPr>
        <w:pStyle w:val="18"/>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选题2：大学生对中国梦的认知和态度研究</w:t>
      </w:r>
    </w:p>
    <w:p>
      <w:pPr>
        <w:pStyle w:val="18"/>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1.实践内容：</w:t>
      </w:r>
      <w:r>
        <w:rPr>
          <w:rFonts w:asciiTheme="minorEastAsia" w:hAnsiTheme="minorEastAsia" w:eastAsiaTheme="minorEastAsia" w:cstheme="minorEastAsia"/>
        </w:rPr>
        <w:t>在校园内开展大学生对中国梦的认知调查研究</w:t>
      </w:r>
      <w:r>
        <w:rPr>
          <w:rFonts w:hint="eastAsia" w:asciiTheme="minorEastAsia" w:hAnsiTheme="minorEastAsia" w:eastAsiaTheme="minorEastAsia" w:cstheme="minorEastAsia"/>
        </w:rPr>
        <w:t>，</w:t>
      </w:r>
      <w:r>
        <w:rPr>
          <w:rFonts w:asciiTheme="minorEastAsia" w:hAnsiTheme="minorEastAsia" w:eastAsiaTheme="minorEastAsia" w:cstheme="minorEastAsia"/>
        </w:rPr>
        <w:t>要求合理地设置调查问卷内容</w:t>
      </w:r>
      <w:r>
        <w:rPr>
          <w:rFonts w:hint="eastAsia" w:asciiTheme="minorEastAsia" w:hAnsiTheme="minorEastAsia" w:eastAsiaTheme="minorEastAsia" w:cstheme="minorEastAsia"/>
        </w:rPr>
        <w:t>，分析</w:t>
      </w:r>
      <w:r>
        <w:rPr>
          <w:rFonts w:asciiTheme="minorEastAsia" w:hAnsiTheme="minorEastAsia" w:eastAsiaTheme="minorEastAsia" w:cstheme="minorEastAsia"/>
        </w:rPr>
        <w:t>调查中存在的问题</w:t>
      </w:r>
      <w:r>
        <w:rPr>
          <w:rFonts w:hint="eastAsia" w:asciiTheme="minorEastAsia" w:hAnsiTheme="minorEastAsia" w:eastAsiaTheme="minorEastAsia" w:cstheme="minorEastAsia"/>
        </w:rPr>
        <w:t>，</w:t>
      </w:r>
      <w:r>
        <w:rPr>
          <w:rFonts w:asciiTheme="minorEastAsia" w:hAnsiTheme="minorEastAsia" w:eastAsiaTheme="minorEastAsia" w:cstheme="minorEastAsia"/>
        </w:rPr>
        <w:t>给出自己的解决方案</w:t>
      </w:r>
      <w:r>
        <w:rPr>
          <w:rFonts w:hint="eastAsia" w:asciiTheme="minorEastAsia" w:hAnsiTheme="minorEastAsia" w:eastAsiaTheme="minorEastAsia" w:cstheme="minorEastAsia"/>
        </w:rPr>
        <w:t>。</w:t>
      </w:r>
    </w:p>
    <w:p>
      <w:pPr>
        <w:pStyle w:val="18"/>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2.实践目标：进一步提升大学生对中国梦的认识水平和践行态度，理解中国梦的深刻内涵。</w:t>
      </w:r>
    </w:p>
    <w:p>
      <w:pPr>
        <w:pStyle w:val="18"/>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选题3：基于“以人民为中心”视角的中国城市建设探析</w:t>
      </w:r>
    </w:p>
    <w:p>
      <w:pPr>
        <w:pStyle w:val="18"/>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1.实践内容：以中国城市建设作为基点，以民生建设为抓手，深入挖掘“以人民为中心”的价值宗旨。</w:t>
      </w:r>
    </w:p>
    <w:p>
      <w:pPr>
        <w:pStyle w:val="18"/>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2.实践目标：促使学生进一步掌握“</w:t>
      </w:r>
      <w:r>
        <w:rPr>
          <w:rFonts w:hint="eastAsia" w:ascii="宋体" w:hAnsi="宋体" w:eastAsia="宋体"/>
        </w:rPr>
        <w:t>江山就是人民，人民就是江山”，理解党的宗旨使命。</w:t>
      </w:r>
    </w:p>
    <w:p>
      <w:pPr>
        <w:pStyle w:val="18"/>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选题4：全过程人民民主研究</w:t>
      </w:r>
    </w:p>
    <w:p>
      <w:pPr>
        <w:pStyle w:val="18"/>
        <w:numPr>
          <w:ilvl w:val="0"/>
          <w:numId w:val="5"/>
        </w:numPr>
        <w:spacing w:line="420" w:lineRule="exact"/>
        <w:ind w:firstLine="480"/>
        <w:rPr>
          <w:rFonts w:ascii="宋体" w:hAnsi="宋体" w:eastAsia="宋体"/>
        </w:rPr>
      </w:pPr>
      <w:r>
        <w:rPr>
          <w:rFonts w:hint="eastAsia" w:ascii="宋体" w:hAnsi="宋体" w:eastAsia="宋体"/>
        </w:rPr>
        <w:t>实践内容：通过多种途径追本溯源，挖掘民主的历史渊源以及中西方对民主的诠释和理解。</w:t>
      </w:r>
    </w:p>
    <w:p>
      <w:pPr>
        <w:pStyle w:val="18"/>
        <w:numPr>
          <w:ilvl w:val="0"/>
          <w:numId w:val="5"/>
        </w:numPr>
        <w:spacing w:line="420" w:lineRule="exact"/>
        <w:ind w:firstLine="480"/>
        <w:rPr>
          <w:rFonts w:asciiTheme="minorEastAsia" w:hAnsiTheme="minorEastAsia" w:eastAsiaTheme="minorEastAsia" w:cstheme="minorEastAsia"/>
        </w:rPr>
      </w:pPr>
      <w:r>
        <w:rPr>
          <w:rFonts w:hint="eastAsia" w:ascii="宋体" w:hAnsi="宋体" w:eastAsia="宋体"/>
        </w:rPr>
        <w:t>实践目标：使得学生能更加了解西方的民主霸权、民主的源流、西方民主、人民民主、全过程人民民主等内容，理解什么是民主以及中西方民主的异同。</w:t>
      </w:r>
    </w:p>
    <w:p>
      <w:pPr>
        <w:pStyle w:val="18"/>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选题5：中国共产党开天辟地的历史伟业研究</w:t>
      </w:r>
    </w:p>
    <w:p>
      <w:pPr>
        <w:pStyle w:val="18"/>
        <w:numPr>
          <w:ilvl w:val="0"/>
          <w:numId w:val="6"/>
        </w:numPr>
        <w:spacing w:line="420" w:lineRule="exact"/>
        <w:ind w:firstLine="480" w:firstLineChars="200"/>
        <w:rPr>
          <w:rFonts w:ascii="宋体" w:hAnsi="宋体" w:eastAsia="宋体"/>
        </w:rPr>
      </w:pPr>
      <w:r>
        <w:rPr>
          <w:rFonts w:hint="eastAsia" w:ascii="宋体" w:hAnsi="宋体" w:eastAsia="宋体"/>
        </w:rPr>
        <w:t>实践内容：通过文献查阅以及对五史的梳理，深入理解中国共产党开天辟地伟业的历史必然和发展逻辑。</w:t>
      </w:r>
    </w:p>
    <w:p>
      <w:pPr>
        <w:pStyle w:val="18"/>
        <w:numPr>
          <w:ilvl w:val="0"/>
          <w:numId w:val="6"/>
        </w:numPr>
        <w:spacing w:line="420" w:lineRule="exact"/>
        <w:ind w:firstLine="480" w:firstLineChars="200"/>
        <w:rPr>
          <w:rFonts w:asciiTheme="minorEastAsia" w:hAnsiTheme="minorEastAsia" w:eastAsiaTheme="minorEastAsia" w:cstheme="minorEastAsia"/>
          <w:b/>
          <w:bCs/>
        </w:rPr>
      </w:pPr>
      <w:r>
        <w:rPr>
          <w:rFonts w:hint="eastAsia" w:ascii="宋体" w:hAnsi="宋体" w:eastAsia="宋体"/>
        </w:rPr>
        <w:t>实践目标：促使学生更加理解为什么要坚持党的全面领导以及党的全面领导的科学内涵及其主要体现。</w:t>
      </w:r>
    </w:p>
    <w:p>
      <w:pPr>
        <w:pStyle w:val="18"/>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选题6：</w:t>
      </w:r>
      <w:r>
        <w:rPr>
          <w:rFonts w:asciiTheme="minorEastAsia" w:hAnsiTheme="minorEastAsia" w:eastAsiaTheme="minorEastAsia" w:cstheme="minorEastAsia"/>
          <w:b/>
          <w:bCs/>
        </w:rPr>
        <w:t>“一带一路”倡议对中国经济发展的影响</w:t>
      </w:r>
    </w:p>
    <w:p>
      <w:pPr>
        <w:pStyle w:val="18"/>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1.实践内容：通过多种途径全面了解“一带一路”倡议，结合本市的发展变化进行实地考察，体会“一带一路”给我们现实生活带来哪些变化？对我国经济社会的发展具有哪些深远影响？</w:t>
      </w:r>
    </w:p>
    <w:p>
      <w:pPr>
        <w:pStyle w:val="18"/>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2.实践目标：通过本次实践，使学生对“一带一路”有更加深刻的认识，提高当代青年的历史责任感的使命感，积极响应国家战略构想，延续丝路历史，传承丝路精神，弘扬丝路文化。</w:t>
      </w:r>
    </w:p>
    <w:p>
      <w:pPr>
        <w:pStyle w:val="18"/>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选题7：生态文明建设对经济社会发展的重要意义</w:t>
      </w:r>
    </w:p>
    <w:p>
      <w:pPr>
        <w:pStyle w:val="18"/>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1.实践内容：在实践中梳理我国生态文明发展的历程，以小组合作的形势就你所熟悉的一个城市或者你的家乡生态环境的发展变化进行实地考察，体会生态文明建设对人们现实生活、生产的影响。</w:t>
      </w:r>
    </w:p>
    <w:p>
      <w:pPr>
        <w:pStyle w:val="18"/>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2.实践目标：厘清我国生态文明发展的历史脉络，通过实地考察，以小见大，通过所见所感所想，理解美丽中国建设的必要性和紧迫性，深刻领会生态文明建设对我国经济社会发展的重要意义。</w:t>
      </w:r>
    </w:p>
    <w:p>
      <w:pPr>
        <w:pStyle w:val="18"/>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选题8：中国军事现代化成就分析</w:t>
      </w:r>
    </w:p>
    <w:p>
      <w:pPr>
        <w:pStyle w:val="18"/>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1.实践内容：了解我国军事现代化发展的历程，在此基础上对我国军事现代化所取得的成就进行纵向（国内）和横向（国际）比较，展现我国军事发展的突出成就和重大突破。</w:t>
      </w:r>
    </w:p>
    <w:p>
      <w:pPr>
        <w:pStyle w:val="18"/>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2.实践目标：充分认识和平时期军事现代化建设对我国发展的深远意义。</w:t>
      </w:r>
    </w:p>
    <w:p>
      <w:pPr>
        <w:pStyle w:val="18"/>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四、教学内容、教学方式与课程目标的支撑关系</w:t>
      </w:r>
    </w:p>
    <w:tbl>
      <w:tblPr>
        <w:tblStyle w:val="11"/>
        <w:tblW w:w="8411" w:type="dxa"/>
        <w:jc w:val="center"/>
        <w:tblLayout w:type="fixed"/>
        <w:tblCellMar>
          <w:top w:w="0" w:type="dxa"/>
          <w:left w:w="57" w:type="dxa"/>
          <w:bottom w:w="0" w:type="dxa"/>
          <w:right w:w="57" w:type="dxa"/>
        </w:tblCellMar>
      </w:tblPr>
      <w:tblGrid>
        <w:gridCol w:w="1347"/>
        <w:gridCol w:w="2895"/>
        <w:gridCol w:w="1389"/>
        <w:gridCol w:w="1389"/>
        <w:gridCol w:w="1391"/>
      </w:tblGrid>
      <w:tr>
        <w:tblPrEx>
          <w:tblCellMar>
            <w:top w:w="0" w:type="dxa"/>
            <w:left w:w="57" w:type="dxa"/>
            <w:bottom w:w="0" w:type="dxa"/>
            <w:right w:w="57" w:type="dxa"/>
          </w:tblCellMar>
        </w:tblPrEx>
        <w:trPr>
          <w:trHeight w:val="412" w:hRule="atLeast"/>
          <w:jc w:val="center"/>
        </w:trPr>
        <w:tc>
          <w:tcPr>
            <w:tcW w:w="1347" w:type="dxa"/>
            <w:vMerge w:val="restart"/>
            <w:tcBorders>
              <w:top w:val="single" w:color="auto" w:sz="4" w:space="0"/>
              <w:left w:val="single" w:color="auto" w:sz="4" w:space="0"/>
              <w:bottom w:val="single" w:color="auto" w:sz="4" w:space="0"/>
              <w:right w:val="single" w:color="auto" w:sz="4" w:space="0"/>
            </w:tcBorders>
            <w:vAlign w:val="center"/>
          </w:tcPr>
          <w:p>
            <w:pPr>
              <w:pStyle w:val="18"/>
              <w:spacing w:line="360" w:lineRule="auto"/>
              <w:rPr>
                <w:rFonts w:asciiTheme="majorEastAsia" w:hAnsiTheme="majorEastAsia" w:eastAsiaTheme="majorEastAsia" w:cstheme="minorEastAsia"/>
                <w:b/>
                <w:bCs/>
                <w:sz w:val="21"/>
                <w:szCs w:val="21"/>
              </w:rPr>
            </w:pPr>
            <w:r>
              <w:rPr>
                <w:rFonts w:hint="eastAsia" w:asciiTheme="majorEastAsia" w:hAnsiTheme="majorEastAsia" w:eastAsiaTheme="majorEastAsia" w:cstheme="minorEastAsia"/>
                <w:b/>
                <w:bCs/>
                <w:sz w:val="21"/>
                <w:szCs w:val="21"/>
              </w:rPr>
              <w:t>课程目标</w:t>
            </w:r>
          </w:p>
        </w:tc>
        <w:tc>
          <w:tcPr>
            <w:tcW w:w="2895" w:type="dxa"/>
            <w:vMerge w:val="restart"/>
            <w:tcBorders>
              <w:top w:val="single" w:color="auto" w:sz="4" w:space="0"/>
              <w:left w:val="nil"/>
              <w:bottom w:val="single" w:color="auto" w:sz="4" w:space="0"/>
              <w:right w:val="single" w:color="auto" w:sz="4" w:space="0"/>
            </w:tcBorders>
            <w:vAlign w:val="center"/>
          </w:tcPr>
          <w:p>
            <w:pPr>
              <w:autoSpaceDE w:val="0"/>
              <w:spacing w:beforeLines="10" w:afterLines="10" w:line="240" w:lineRule="exact"/>
              <w:ind w:right="105" w:rightChars="50"/>
              <w:jc w:val="center"/>
              <w:rPr>
                <w:rFonts w:asciiTheme="majorEastAsia" w:hAnsiTheme="majorEastAsia" w:eastAsiaTheme="majorEastAsia" w:cstheme="minorEastAsia"/>
                <w:b/>
                <w:bCs/>
                <w:szCs w:val="21"/>
              </w:rPr>
            </w:pPr>
            <w:r>
              <w:rPr>
                <w:rFonts w:hint="eastAsia" w:asciiTheme="majorEastAsia" w:hAnsiTheme="majorEastAsia" w:eastAsiaTheme="majorEastAsia" w:cstheme="minorEastAsia"/>
                <w:b/>
                <w:bCs/>
                <w:szCs w:val="21"/>
              </w:rPr>
              <w:t>教学内容</w:t>
            </w:r>
          </w:p>
        </w:tc>
        <w:tc>
          <w:tcPr>
            <w:tcW w:w="4169" w:type="dxa"/>
            <w:gridSpan w:val="3"/>
            <w:tcBorders>
              <w:top w:val="single" w:color="auto" w:sz="4" w:space="0"/>
              <w:left w:val="nil"/>
              <w:bottom w:val="single" w:color="auto" w:sz="4" w:space="0"/>
              <w:right w:val="single" w:color="auto" w:sz="4" w:space="0"/>
            </w:tcBorders>
            <w:vAlign w:val="center"/>
          </w:tcPr>
          <w:p>
            <w:pPr>
              <w:autoSpaceDE w:val="0"/>
              <w:spacing w:beforeLines="10" w:afterLines="10" w:line="240" w:lineRule="exact"/>
              <w:ind w:right="105" w:rightChars="50"/>
              <w:jc w:val="center"/>
              <w:rPr>
                <w:rFonts w:asciiTheme="majorEastAsia" w:hAnsiTheme="majorEastAsia" w:eastAsiaTheme="majorEastAsia" w:cstheme="minorEastAsia"/>
                <w:b/>
                <w:bCs/>
                <w:szCs w:val="21"/>
              </w:rPr>
            </w:pPr>
            <w:r>
              <w:rPr>
                <w:rFonts w:hint="eastAsia" w:asciiTheme="majorEastAsia" w:hAnsiTheme="majorEastAsia" w:eastAsiaTheme="majorEastAsia" w:cstheme="minorEastAsia"/>
                <w:b/>
                <w:bCs/>
                <w:szCs w:val="21"/>
              </w:rPr>
              <w:t>教学方式</w:t>
            </w:r>
          </w:p>
        </w:tc>
      </w:tr>
      <w:tr>
        <w:tblPrEx>
          <w:tblCellMar>
            <w:top w:w="0" w:type="dxa"/>
            <w:left w:w="57" w:type="dxa"/>
            <w:bottom w:w="0" w:type="dxa"/>
            <w:right w:w="57" w:type="dxa"/>
          </w:tblCellMar>
        </w:tblPrEx>
        <w:trPr>
          <w:trHeight w:val="20"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inorEastAsia"/>
                <w:b/>
                <w:bCs/>
                <w:szCs w:val="21"/>
              </w:rPr>
            </w:pPr>
          </w:p>
        </w:tc>
        <w:tc>
          <w:tcPr>
            <w:tcW w:w="2895" w:type="dxa"/>
            <w:vMerge w:val="continue"/>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inorEastAsia"/>
                <w:b/>
                <w:bCs/>
                <w:szCs w:val="21"/>
              </w:rPr>
            </w:pPr>
          </w:p>
        </w:tc>
        <w:tc>
          <w:tcPr>
            <w:tcW w:w="1389" w:type="dxa"/>
            <w:tcBorders>
              <w:top w:val="single" w:color="auto" w:sz="4" w:space="0"/>
              <w:left w:val="nil"/>
              <w:bottom w:val="single" w:color="auto" w:sz="4" w:space="0"/>
              <w:right w:val="single" w:color="auto" w:sz="4" w:space="0"/>
            </w:tcBorders>
            <w:vAlign w:val="center"/>
          </w:tcPr>
          <w:p>
            <w:pPr>
              <w:autoSpaceDE w:val="0"/>
              <w:spacing w:beforeLines="10" w:afterLines="10" w:line="240" w:lineRule="exact"/>
              <w:jc w:val="center"/>
              <w:rPr>
                <w:rFonts w:asciiTheme="majorEastAsia" w:hAnsiTheme="majorEastAsia" w:eastAsiaTheme="majorEastAsia" w:cstheme="minorEastAsia"/>
                <w:b/>
                <w:bCs/>
                <w:szCs w:val="21"/>
              </w:rPr>
            </w:pPr>
            <w:r>
              <w:rPr>
                <w:rFonts w:hint="eastAsia" w:asciiTheme="majorEastAsia" w:hAnsiTheme="majorEastAsia" w:eastAsiaTheme="majorEastAsia" w:cstheme="minorEastAsia"/>
                <w:b/>
                <w:bCs/>
                <w:szCs w:val="21"/>
              </w:rPr>
              <w:t>线下教学</w:t>
            </w:r>
          </w:p>
        </w:tc>
        <w:tc>
          <w:tcPr>
            <w:tcW w:w="1389" w:type="dxa"/>
            <w:tcBorders>
              <w:top w:val="single" w:color="auto" w:sz="4" w:space="0"/>
              <w:left w:val="nil"/>
              <w:bottom w:val="single" w:color="auto" w:sz="4" w:space="0"/>
              <w:right w:val="single" w:color="auto" w:sz="4" w:space="0"/>
            </w:tcBorders>
            <w:vAlign w:val="center"/>
          </w:tcPr>
          <w:p>
            <w:pPr>
              <w:autoSpaceDE w:val="0"/>
              <w:spacing w:beforeLines="10" w:afterLines="10" w:line="240" w:lineRule="exact"/>
              <w:jc w:val="center"/>
              <w:rPr>
                <w:rFonts w:asciiTheme="majorEastAsia" w:hAnsiTheme="majorEastAsia" w:eastAsiaTheme="majorEastAsia" w:cstheme="minorEastAsia"/>
                <w:b/>
                <w:bCs/>
                <w:szCs w:val="21"/>
              </w:rPr>
            </w:pPr>
            <w:r>
              <w:rPr>
                <w:rFonts w:hint="eastAsia" w:asciiTheme="majorEastAsia" w:hAnsiTheme="majorEastAsia" w:eastAsiaTheme="majorEastAsia" w:cstheme="minorEastAsia"/>
                <w:b/>
                <w:bCs/>
                <w:szCs w:val="21"/>
              </w:rPr>
              <w:t>混合教学</w:t>
            </w:r>
          </w:p>
        </w:tc>
        <w:tc>
          <w:tcPr>
            <w:tcW w:w="1391" w:type="dxa"/>
            <w:tcBorders>
              <w:top w:val="single" w:color="auto" w:sz="4" w:space="0"/>
              <w:left w:val="nil"/>
              <w:bottom w:val="single" w:color="auto" w:sz="4" w:space="0"/>
              <w:right w:val="single" w:color="auto" w:sz="4" w:space="0"/>
            </w:tcBorders>
            <w:vAlign w:val="center"/>
          </w:tcPr>
          <w:p>
            <w:pPr>
              <w:autoSpaceDE w:val="0"/>
              <w:spacing w:beforeLines="10" w:afterLines="10" w:line="240" w:lineRule="exact"/>
              <w:jc w:val="center"/>
              <w:rPr>
                <w:rFonts w:asciiTheme="majorEastAsia" w:hAnsiTheme="majorEastAsia" w:eastAsiaTheme="majorEastAsia" w:cstheme="minorEastAsia"/>
                <w:b/>
                <w:bCs/>
                <w:i/>
                <w:iCs/>
                <w:szCs w:val="21"/>
              </w:rPr>
            </w:pPr>
            <w:r>
              <w:rPr>
                <w:rFonts w:hint="eastAsia" w:asciiTheme="majorEastAsia" w:hAnsiTheme="majorEastAsia" w:eastAsiaTheme="majorEastAsia" w:cstheme="minorEastAsia"/>
                <w:b/>
                <w:bCs/>
                <w:szCs w:val="21"/>
              </w:rPr>
              <w:t>线上教学</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ajorEastAsia" w:hAnsiTheme="majorEastAsia" w:eastAsiaTheme="majorEastAsia" w:cstheme="minorEastAsia"/>
                <w:szCs w:val="21"/>
              </w:rPr>
            </w:pPr>
            <w:r>
              <w:rPr>
                <w:rFonts w:hint="eastAsia" w:asciiTheme="majorEastAsia" w:hAnsiTheme="majorEastAsia" w:eastAsiaTheme="majorEastAsia" w:cstheme="minorEastAsia"/>
                <w:szCs w:val="21"/>
              </w:rPr>
              <w:t>课程目标1</w:t>
            </w:r>
          </w:p>
        </w:tc>
        <w:tc>
          <w:tcPr>
            <w:tcW w:w="2895" w:type="dxa"/>
            <w:tcBorders>
              <w:top w:val="single" w:color="auto" w:sz="4" w:space="0"/>
              <w:left w:val="nil"/>
              <w:bottom w:val="single" w:color="auto" w:sz="4" w:space="0"/>
              <w:right w:val="single" w:color="auto" w:sz="4" w:space="0"/>
            </w:tcBorders>
            <w:vAlign w:val="center"/>
          </w:tcPr>
          <w:p>
            <w:pPr>
              <w:pStyle w:val="2"/>
              <w:adjustRightInd w:val="0"/>
              <w:snapToGrid w:val="0"/>
              <w:ind w:firstLine="0" w:firstLineChars="0"/>
              <w:rPr>
                <w:rFonts w:ascii="宋体" w:hAnsi="宋体" w:cs="宋体"/>
                <w:kern w:val="0"/>
                <w:szCs w:val="21"/>
              </w:rPr>
            </w:pPr>
            <w:r>
              <w:rPr>
                <w:rFonts w:hint="eastAsia" w:ascii="宋体" w:hAnsi="宋体" w:cs="宋体"/>
                <w:kern w:val="0"/>
                <w:szCs w:val="21"/>
              </w:rPr>
              <w:t>基于书本，结合时政，讲述习近平新时代中国特色社会主义思想的时代背景、主要内容、科学体系、历史地位，分析其四梁八柱以及内在逻辑。</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ajorEastAsia" w:hAnsiTheme="majorEastAsia" w:eastAsiaTheme="maj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ajorEastAsia" w:hAnsiTheme="majorEastAsia" w:eastAsiaTheme="majorEastAsia" w:cstheme="minorEastAsia"/>
                <w:bCs/>
                <w:kern w:val="0"/>
                <w:szCs w:val="21"/>
              </w:rPr>
            </w:pPr>
            <w:r>
              <w:rPr>
                <w:rFonts w:hint="eastAsia" w:asciiTheme="majorEastAsia" w:hAnsiTheme="majorEastAsia" w:eastAsiaTheme="maj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ajorEastAsia" w:hAnsiTheme="majorEastAsia" w:eastAsiaTheme="majorEastAsia" w:cstheme="minorEastAsia"/>
                <w:b/>
                <w:bCs/>
                <w:i/>
                <w:i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ajorEastAsia" w:hAnsiTheme="majorEastAsia" w:eastAsiaTheme="majorEastAsia" w:cstheme="minorEastAsia"/>
                <w:szCs w:val="21"/>
              </w:rPr>
            </w:pPr>
            <w:r>
              <w:rPr>
                <w:rFonts w:hint="eastAsia" w:asciiTheme="majorEastAsia" w:hAnsiTheme="majorEastAsia" w:eastAsiaTheme="majorEastAsia" w:cstheme="minorEastAsia"/>
                <w:szCs w:val="21"/>
              </w:rPr>
              <w:t>课程目标2</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Theme="majorEastAsia" w:hAnsiTheme="majorEastAsia" w:eastAsiaTheme="majorEastAsia" w:cstheme="minorEastAsia"/>
                <w:szCs w:val="21"/>
              </w:rPr>
            </w:pPr>
            <w:r>
              <w:rPr>
                <w:rFonts w:hint="eastAsia" w:asciiTheme="majorEastAsia" w:hAnsiTheme="majorEastAsia" w:eastAsiaTheme="majorEastAsia" w:cstheme="minorEastAsia"/>
                <w:szCs w:val="21"/>
              </w:rPr>
              <w:t>基于课程内容，结合身边实际，以实践调研为抓手，对现实问题进行研究</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ajorEastAsia" w:hAnsiTheme="majorEastAsia" w:eastAsiaTheme="maj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ajorEastAsia" w:hAnsiTheme="majorEastAsia" w:eastAsiaTheme="majorEastAsia" w:cstheme="minorEastAsia"/>
                <w:bCs/>
                <w:kern w:val="0"/>
                <w:szCs w:val="21"/>
              </w:rPr>
            </w:pPr>
            <w:r>
              <w:rPr>
                <w:rFonts w:hint="eastAsia" w:asciiTheme="majorEastAsia" w:hAnsiTheme="majorEastAsia" w:eastAsiaTheme="maj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ajorEastAsia" w:hAnsiTheme="majorEastAsia" w:eastAsiaTheme="majorEastAsia" w:cstheme="minorEastAsia"/>
                <w:b/>
                <w:b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ajorEastAsia" w:hAnsiTheme="majorEastAsia" w:eastAsiaTheme="majorEastAsia" w:cstheme="minorEastAsia"/>
                <w:szCs w:val="21"/>
              </w:rPr>
            </w:pPr>
            <w:r>
              <w:rPr>
                <w:rFonts w:hint="eastAsia" w:asciiTheme="majorEastAsia" w:hAnsiTheme="majorEastAsia" w:eastAsiaTheme="majorEastAsia" w:cstheme="minorEastAsia"/>
                <w:szCs w:val="21"/>
              </w:rPr>
              <w:t>课程目标3</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Theme="majorEastAsia" w:hAnsiTheme="majorEastAsia" w:eastAsiaTheme="majorEastAsia" w:cstheme="minorEastAsia"/>
                <w:b/>
                <w:bCs/>
                <w:szCs w:val="21"/>
              </w:rPr>
            </w:pPr>
            <w:r>
              <w:rPr>
                <w:rFonts w:hint="eastAsia" w:asciiTheme="majorEastAsia" w:hAnsiTheme="majorEastAsia" w:eastAsiaTheme="majorEastAsia" w:cstheme="minorEastAsia"/>
                <w:szCs w:val="21"/>
              </w:rPr>
              <w:t>理论结合实际的问题探讨。</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ajorEastAsia" w:hAnsiTheme="majorEastAsia" w:eastAsiaTheme="maj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ajorEastAsia" w:hAnsiTheme="majorEastAsia" w:eastAsiaTheme="majorEastAsia" w:cstheme="minorEastAsia"/>
                <w:b/>
                <w:kern w:val="0"/>
                <w:szCs w:val="21"/>
              </w:rPr>
            </w:pPr>
            <w:r>
              <w:rPr>
                <w:rFonts w:hint="eastAsia" w:asciiTheme="majorEastAsia" w:hAnsiTheme="majorEastAsia" w:eastAsiaTheme="maj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ajorEastAsia" w:hAnsiTheme="majorEastAsia" w:eastAsiaTheme="majorEastAsia" w:cstheme="minorEastAsia"/>
                <w:b/>
                <w:bCs/>
                <w:color w:val="FF0000"/>
                <w:kern w:val="0"/>
                <w:szCs w:val="21"/>
              </w:rPr>
            </w:pPr>
          </w:p>
        </w:tc>
      </w:tr>
    </w:tbl>
    <w:p>
      <w:pPr>
        <w:pStyle w:val="18"/>
        <w:spacing w:line="420" w:lineRule="exact"/>
        <w:rPr>
          <w:rFonts w:asciiTheme="minorHAnsi" w:hAnsiTheme="minorHAnsi" w:eastAsiaTheme="minorEastAsia" w:cstheme="minorBidi"/>
          <w:kern w:val="2"/>
          <w:sz w:val="21"/>
        </w:rPr>
      </w:pPr>
      <w:r>
        <w:rPr>
          <w:rFonts w:hint="eastAsia" w:asciiTheme="majorEastAsia" w:hAnsiTheme="majorEastAsia" w:eastAsiaTheme="majorEastAsia" w:cstheme="majorEastAsia"/>
          <w:b/>
          <w:bCs/>
          <w:sz w:val="28"/>
          <w:szCs w:val="28"/>
        </w:rPr>
        <w:t>五、课程教学方法与学时分配</w:t>
      </w:r>
    </w:p>
    <w:p>
      <w:pPr>
        <w:pStyle w:val="18"/>
        <w:spacing w:line="420" w:lineRule="exact"/>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（一）教学方法</w:t>
      </w:r>
    </w:p>
    <w:p>
      <w:pPr>
        <w:pStyle w:val="18"/>
        <w:spacing w:line="420" w:lineRule="exact"/>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课程教学体现理论和实践相结合特点，主要采用理论讲授、案例演示、实验指导、讨论答疑和联系的方法，学生可利用爱课程M</w:t>
      </w:r>
      <w:r>
        <w:rPr>
          <w:rFonts w:asciiTheme="minorEastAsia" w:hAnsiTheme="minorEastAsia" w:eastAsiaTheme="minorEastAsia" w:cstheme="minorEastAsia"/>
          <w:color w:val="auto"/>
        </w:rPr>
        <w:t>OOC</w:t>
      </w:r>
      <w:r>
        <w:rPr>
          <w:rFonts w:hint="eastAsia" w:asciiTheme="minorEastAsia" w:hAnsiTheme="minorEastAsia" w:eastAsiaTheme="minorEastAsia" w:cstheme="minorEastAsia"/>
          <w:color w:val="auto"/>
        </w:rPr>
        <w:t>平台进行线上学习，要求及时完成M</w:t>
      </w:r>
      <w:r>
        <w:rPr>
          <w:rFonts w:asciiTheme="minorEastAsia" w:hAnsiTheme="minorEastAsia" w:eastAsiaTheme="minorEastAsia" w:cstheme="minorEastAsia"/>
          <w:color w:val="auto"/>
        </w:rPr>
        <w:t>OOC</w:t>
      </w:r>
      <w:r>
        <w:rPr>
          <w:rFonts w:hint="eastAsia" w:asciiTheme="minorEastAsia" w:hAnsiTheme="minorEastAsia" w:eastAsiaTheme="minorEastAsia" w:cstheme="minorEastAsia"/>
          <w:color w:val="auto"/>
        </w:rPr>
        <w:t>测验和作业，积极参与M</w:t>
      </w:r>
      <w:r>
        <w:rPr>
          <w:rFonts w:asciiTheme="minorEastAsia" w:hAnsiTheme="minorEastAsia" w:eastAsiaTheme="minorEastAsia" w:cstheme="minorEastAsia"/>
          <w:color w:val="auto"/>
        </w:rPr>
        <w:t>OOC</w:t>
      </w:r>
      <w:r>
        <w:rPr>
          <w:rFonts w:hint="eastAsia" w:asciiTheme="minorEastAsia" w:hAnsiTheme="minorEastAsia" w:eastAsiaTheme="minorEastAsia" w:cstheme="minorEastAsia"/>
          <w:color w:val="auto"/>
        </w:rPr>
        <w:t>讨论。</w:t>
      </w:r>
    </w:p>
    <w:p>
      <w:pPr>
        <w:pStyle w:val="18"/>
        <w:spacing w:line="420" w:lineRule="exact"/>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r>
        <w:rPr>
          <w:rFonts w:asciiTheme="minorEastAsia" w:hAnsiTheme="minorEastAsia" w:eastAsiaTheme="minorEastAsia" w:cstheme="minorEastAsia"/>
          <w:color w:val="auto"/>
        </w:rPr>
        <w:t>理论讲授</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采用多媒体教学</w:t>
      </w:r>
      <w:r>
        <w:rPr>
          <w:rFonts w:hint="eastAsia" w:asciiTheme="minorEastAsia" w:hAnsiTheme="minorEastAsia" w:eastAsiaTheme="minorEastAsia" w:cstheme="minorEastAsia"/>
          <w:color w:val="auto"/>
        </w:rPr>
        <w:t>、线上线下混合式教学方式，理解马克思主义中国化时代化理论成果的主要内容、精神实质、历史地位和指导意义，重点掌握中国特色社会主义理论体系，从而树立正确的世界观、人生观、价值观，能够坚定在党的领导下走中国特色社会主义道路的理想信念。</w:t>
      </w:r>
    </w:p>
    <w:p>
      <w:pPr>
        <w:pStyle w:val="18"/>
        <w:spacing w:line="420" w:lineRule="exact"/>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r>
        <w:rPr>
          <w:rFonts w:asciiTheme="minorEastAsia" w:hAnsiTheme="minorEastAsia" w:eastAsiaTheme="minorEastAsia" w:cstheme="minorEastAsia"/>
          <w:color w:val="auto"/>
        </w:rPr>
        <w:t>.</w:t>
      </w:r>
      <w:r>
        <w:rPr>
          <w:rFonts w:hint="eastAsia" w:asciiTheme="minorEastAsia" w:hAnsiTheme="minorEastAsia" w:eastAsiaTheme="minorEastAsia" w:cstheme="minorEastAsia"/>
          <w:color w:val="auto"/>
        </w:rPr>
        <w:t>案例演示：精选典型实事案例进行解释和说明，通过案例的剖析，培养学生科学的认识和分析复杂的社会现象的能力；帮助学生把握基本原理，坚定理想信念，坚持理论联系实际，努力做到以理服人，以情动人。</w:t>
      </w:r>
    </w:p>
    <w:p>
      <w:pPr>
        <w:pStyle w:val="18"/>
        <w:spacing w:line="420" w:lineRule="exact"/>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实践指导：本课程实践教学主要包括校内实践和社会实践。校内实践主要以先进事迹报告、专题研讨、主题演讲、知识竞赛、观看相关教学记录片、举办模拟法庭等形式进行。社会实践主要以参观和考察“红色旅游”景点和爱国主义教育基地、社会调研、假期“三下乡”社会实践活动、社会公益活动、“青年志愿者”活动等形式进行。创新实践教学环节，规范实践教学模式，加深学生对理论知识的认识理解，提高教学效果，提升教学亲和力和针对性。</w:t>
      </w:r>
    </w:p>
    <w:p>
      <w:pPr>
        <w:pStyle w:val="18"/>
        <w:spacing w:line="420" w:lineRule="exact"/>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w:t>
      </w:r>
      <w:r>
        <w:rPr>
          <w:rFonts w:asciiTheme="minorEastAsia" w:hAnsiTheme="minorEastAsia" w:eastAsiaTheme="minorEastAsia" w:cstheme="minorEastAsia"/>
          <w:color w:val="auto"/>
        </w:rPr>
        <w:t>.</w:t>
      </w:r>
      <w:r>
        <w:rPr>
          <w:rFonts w:hint="eastAsia" w:asciiTheme="minorEastAsia" w:hAnsiTheme="minorEastAsia" w:eastAsiaTheme="minorEastAsia" w:cstheme="minorEastAsia"/>
          <w:color w:val="auto"/>
        </w:rPr>
        <w:t>讨论、答疑和练习：课程教学中，应根据实际情况，适当增加课堂讨论、问题答疑和课堂练习等教学活动，使学生积极参与课程教学活动，了解和检验学生对知识的掌握程度。</w:t>
      </w:r>
    </w:p>
    <w:p>
      <w:pPr>
        <w:pStyle w:val="18"/>
        <w:numPr>
          <w:ilvl w:val="0"/>
          <w:numId w:val="7"/>
        </w:numPr>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学时分配</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58"/>
        <w:gridCol w:w="3273"/>
        <w:gridCol w:w="684"/>
        <w:gridCol w:w="516"/>
        <w:gridCol w:w="473"/>
        <w:gridCol w:w="760"/>
        <w:gridCol w:w="7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1758" w:type="dxa"/>
            <w:vMerge w:val="restart"/>
            <w:noWrap/>
            <w:tcMar>
              <w:top w:w="0" w:type="dxa"/>
              <w:left w:w="108" w:type="dxa"/>
              <w:bottom w:w="0" w:type="dxa"/>
              <w:right w:w="108" w:type="dxa"/>
            </w:tcMar>
            <w:vAlign w:val="center"/>
          </w:tcPr>
          <w:p>
            <w:pPr>
              <w:widowControl/>
              <w:spacing w:beforeLines="50"/>
              <w:jc w:val="center"/>
              <w:rPr>
                <w:rFonts w:ascii="宋体" w:hAnsi="宋体" w:cs="宋体"/>
                <w:kern w:val="0"/>
                <w:sz w:val="24"/>
              </w:rPr>
            </w:pPr>
            <w:r>
              <w:rPr>
                <w:rFonts w:hint="eastAsia" w:ascii="宋体" w:hAnsi="宋体" w:cs="宋体"/>
                <w:color w:val="000000"/>
                <w:kern w:val="0"/>
                <w:sz w:val="24"/>
              </w:rPr>
              <w:t>章 节</w:t>
            </w:r>
          </w:p>
        </w:tc>
        <w:tc>
          <w:tcPr>
            <w:tcW w:w="3273" w:type="dxa"/>
            <w:vMerge w:val="restart"/>
            <w:noWrap/>
            <w:tcMar>
              <w:top w:w="0" w:type="dxa"/>
              <w:left w:w="108" w:type="dxa"/>
              <w:bottom w:w="0" w:type="dxa"/>
              <w:right w:w="108" w:type="dxa"/>
            </w:tcMar>
            <w:vAlign w:val="center"/>
          </w:tcPr>
          <w:p>
            <w:pPr>
              <w:widowControl/>
              <w:spacing w:beforeLines="50"/>
              <w:ind w:firstLine="480" w:firstLineChars="200"/>
              <w:jc w:val="left"/>
              <w:rPr>
                <w:rFonts w:ascii="宋体" w:hAnsi="宋体" w:cs="宋体"/>
                <w:kern w:val="0"/>
                <w:sz w:val="24"/>
              </w:rPr>
            </w:pPr>
            <w:r>
              <w:rPr>
                <w:rFonts w:hint="eastAsia" w:ascii="宋体" w:hAnsi="宋体" w:cs="宋体"/>
                <w:color w:val="000000"/>
                <w:kern w:val="0"/>
                <w:sz w:val="24"/>
              </w:rPr>
              <w:t>教学内容</w:t>
            </w:r>
          </w:p>
        </w:tc>
        <w:tc>
          <w:tcPr>
            <w:tcW w:w="684" w:type="dxa"/>
            <w:vMerge w:val="restart"/>
            <w:noWrap/>
            <w:tcMar>
              <w:top w:w="0" w:type="dxa"/>
              <w:left w:w="108" w:type="dxa"/>
              <w:bottom w:w="0" w:type="dxa"/>
              <w:right w:w="108" w:type="dxa"/>
            </w:tcMar>
            <w:vAlign w:val="center"/>
          </w:tcPr>
          <w:p>
            <w:pPr>
              <w:widowControl/>
              <w:spacing w:beforeLines="50"/>
              <w:jc w:val="left"/>
              <w:rPr>
                <w:rFonts w:ascii="宋体" w:hAnsi="宋体" w:cs="宋体"/>
                <w:kern w:val="0"/>
                <w:sz w:val="24"/>
              </w:rPr>
            </w:pPr>
            <w:r>
              <w:rPr>
                <w:rFonts w:hint="eastAsia" w:ascii="宋体" w:hAnsi="宋体" w:cs="宋体"/>
                <w:color w:val="000000"/>
                <w:kern w:val="0"/>
                <w:sz w:val="24"/>
              </w:rPr>
              <w:t>总学时</w:t>
            </w:r>
          </w:p>
        </w:tc>
        <w:tc>
          <w:tcPr>
            <w:tcW w:w="1749" w:type="dxa"/>
            <w:gridSpan w:val="3"/>
            <w:noWrap/>
            <w:tcMar>
              <w:top w:w="0" w:type="dxa"/>
              <w:left w:w="108" w:type="dxa"/>
              <w:bottom w:w="0" w:type="dxa"/>
              <w:right w:w="108" w:type="dxa"/>
            </w:tcMar>
            <w:vAlign w:val="center"/>
          </w:tcPr>
          <w:p>
            <w:pPr>
              <w:widowControl/>
              <w:spacing w:beforeLines="50"/>
              <w:jc w:val="center"/>
              <w:rPr>
                <w:rFonts w:ascii="宋体" w:hAnsi="宋体" w:cs="宋体"/>
                <w:kern w:val="0"/>
                <w:sz w:val="24"/>
              </w:rPr>
            </w:pPr>
            <w:r>
              <w:rPr>
                <w:rFonts w:hint="eastAsia" w:ascii="宋体" w:hAnsi="宋体" w:cs="宋体"/>
                <w:color w:val="000000"/>
                <w:kern w:val="0"/>
                <w:sz w:val="24"/>
              </w:rPr>
              <w:t>课时分配</w:t>
            </w:r>
          </w:p>
        </w:tc>
        <w:tc>
          <w:tcPr>
            <w:tcW w:w="77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r>
              <w:rPr>
                <w:rFonts w:hint="eastAsia" w:ascii="宋体" w:hAnsi="宋体" w:cs="宋体"/>
                <w:color w:val="000000"/>
                <w:kern w:val="0"/>
                <w:sz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758" w:type="dxa"/>
            <w:vMerge w:val="continue"/>
            <w:noWrap/>
            <w:vAlign w:val="center"/>
          </w:tcPr>
          <w:p>
            <w:pPr>
              <w:widowControl/>
              <w:spacing w:beforeLines="50"/>
              <w:jc w:val="center"/>
              <w:rPr>
                <w:rFonts w:ascii="宋体" w:hAnsi="宋体" w:cs="宋体"/>
                <w:kern w:val="0"/>
                <w:sz w:val="24"/>
              </w:rPr>
            </w:pPr>
          </w:p>
        </w:tc>
        <w:tc>
          <w:tcPr>
            <w:tcW w:w="3273" w:type="dxa"/>
            <w:vMerge w:val="continue"/>
            <w:noWrap/>
            <w:vAlign w:val="center"/>
          </w:tcPr>
          <w:p>
            <w:pPr>
              <w:widowControl/>
              <w:spacing w:beforeLines="50"/>
              <w:jc w:val="left"/>
              <w:rPr>
                <w:rFonts w:ascii="宋体" w:hAnsi="宋体" w:cs="宋体"/>
                <w:kern w:val="0"/>
                <w:sz w:val="24"/>
              </w:rPr>
            </w:pPr>
          </w:p>
        </w:tc>
        <w:tc>
          <w:tcPr>
            <w:tcW w:w="684" w:type="dxa"/>
            <w:vMerge w:val="continue"/>
            <w:noWrap/>
            <w:vAlign w:val="center"/>
          </w:tcPr>
          <w:p>
            <w:pPr>
              <w:widowControl/>
              <w:spacing w:beforeLines="50"/>
              <w:jc w:val="left"/>
              <w:rPr>
                <w:rFonts w:ascii="宋体" w:hAnsi="宋体" w:cs="宋体"/>
                <w:kern w:val="0"/>
                <w:sz w:val="24"/>
              </w:rPr>
            </w:pPr>
          </w:p>
        </w:tc>
        <w:tc>
          <w:tcPr>
            <w:tcW w:w="516"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r>
              <w:rPr>
                <w:rFonts w:hint="eastAsia" w:ascii="宋体" w:hAnsi="宋体" w:cs="宋体"/>
                <w:color w:val="000000"/>
                <w:kern w:val="0"/>
                <w:sz w:val="24"/>
              </w:rPr>
              <w:t>理论教学</w:t>
            </w:r>
          </w:p>
        </w:tc>
        <w:tc>
          <w:tcPr>
            <w:tcW w:w="473"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r>
              <w:rPr>
                <w:rFonts w:hint="eastAsia" w:ascii="宋体" w:hAnsi="宋体" w:cs="宋体"/>
                <w:kern w:val="0"/>
                <w:sz w:val="24"/>
              </w:rPr>
              <w:t>课内实践</w:t>
            </w:r>
          </w:p>
        </w:tc>
        <w:tc>
          <w:tcPr>
            <w:tcW w:w="76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r>
              <w:rPr>
                <w:rFonts w:hint="eastAsia" w:ascii="宋体" w:hAnsi="宋体" w:cs="宋体"/>
                <w:color w:val="000000"/>
                <w:kern w:val="0"/>
                <w:sz w:val="24"/>
              </w:rPr>
              <w:t>其他</w:t>
            </w:r>
          </w:p>
        </w:tc>
        <w:tc>
          <w:tcPr>
            <w:tcW w:w="770" w:type="dxa"/>
            <w:noWrap/>
            <w:vAlign w:val="center"/>
          </w:tcPr>
          <w:p>
            <w:pPr>
              <w:widowControl/>
              <w:spacing w:beforeLines="5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58"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导论</w:t>
            </w:r>
          </w:p>
        </w:tc>
        <w:tc>
          <w:tcPr>
            <w:tcW w:w="3273"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r>
              <w:rPr>
                <w:rFonts w:hint="eastAsia" w:ascii="宋体" w:hAnsi="宋体" w:cs="宋体"/>
                <w:kern w:val="0"/>
                <w:szCs w:val="21"/>
              </w:rPr>
              <w:t>介绍习近平新时代中国特色社会主义思想的时代背景、主要内容、科学体系、历史地位</w:t>
            </w:r>
          </w:p>
        </w:tc>
        <w:tc>
          <w:tcPr>
            <w:tcW w:w="684" w:type="dxa"/>
            <w:noWrap/>
            <w:tcMar>
              <w:top w:w="0" w:type="dxa"/>
              <w:left w:w="108" w:type="dxa"/>
              <w:bottom w:w="0" w:type="dxa"/>
              <w:right w:w="108" w:type="dxa"/>
            </w:tcMar>
            <w:vAlign w:val="center"/>
          </w:tcPr>
          <w:p>
            <w:pPr>
              <w:widowControl/>
              <w:spacing w:beforeLines="50"/>
              <w:jc w:val="center"/>
              <w:rPr>
                <w:rFonts w:ascii="宋体" w:hAnsi="宋体" w:cs="宋体"/>
                <w:kern w:val="0"/>
                <w:sz w:val="24"/>
              </w:rPr>
            </w:pPr>
            <w:r>
              <w:rPr>
                <w:rFonts w:ascii="Times New Roman" w:hAnsi="Times New Roman" w:eastAsia="微软雅黑" w:cs="Times New Roman"/>
                <w:color w:val="000000"/>
                <w:szCs w:val="21"/>
              </w:rPr>
              <w:t>2</w:t>
            </w:r>
          </w:p>
        </w:tc>
        <w:tc>
          <w:tcPr>
            <w:tcW w:w="516"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473" w:type="dxa"/>
            <w:noWrap/>
            <w:tcMar>
              <w:top w:w="0" w:type="dxa"/>
              <w:left w:w="108" w:type="dxa"/>
              <w:bottom w:w="0" w:type="dxa"/>
              <w:right w:w="108" w:type="dxa"/>
            </w:tcMar>
            <w:vAlign w:val="center"/>
          </w:tcPr>
          <w:p>
            <w:pPr>
              <w:widowControl/>
              <w:spacing w:beforeLines="50"/>
              <w:jc w:val="center"/>
              <w:rPr>
                <w:rFonts w:ascii="宋体" w:hAnsi="宋体" w:cs="宋体"/>
                <w:kern w:val="0"/>
                <w:sz w:val="24"/>
              </w:rPr>
            </w:pPr>
          </w:p>
        </w:tc>
        <w:tc>
          <w:tcPr>
            <w:tcW w:w="760" w:type="dxa"/>
            <w:noWrap/>
            <w:tcMar>
              <w:top w:w="0" w:type="dxa"/>
              <w:left w:w="108" w:type="dxa"/>
              <w:bottom w:w="0" w:type="dxa"/>
              <w:right w:w="108" w:type="dxa"/>
            </w:tcMar>
            <w:vAlign w:val="center"/>
          </w:tcPr>
          <w:p>
            <w:pPr>
              <w:widowControl/>
              <w:spacing w:beforeLines="50"/>
              <w:jc w:val="center"/>
              <w:rPr>
                <w:rFonts w:ascii="宋体" w:hAnsi="宋体" w:cs="宋体"/>
                <w:kern w:val="0"/>
                <w:sz w:val="24"/>
              </w:rPr>
            </w:pPr>
            <w:r>
              <w:rPr>
                <w:rFonts w:hint="eastAsia" w:ascii="宋体" w:hAnsi="宋体" w:cs="宋体"/>
                <w:color w:val="000000"/>
                <w:kern w:val="0"/>
                <w:sz w:val="24"/>
              </w:rPr>
              <w:t> </w:t>
            </w:r>
          </w:p>
        </w:tc>
        <w:tc>
          <w:tcPr>
            <w:tcW w:w="77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r>
              <w:rPr>
                <w:rFonts w:hint="eastAsia" w:ascii="宋体" w:hAnsi="宋体" w:cs="宋体"/>
                <w:color w:val="000000"/>
                <w:kern w:val="0"/>
                <w:sz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1758"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color w:val="000000"/>
                <w:kern w:val="0"/>
                <w:szCs w:val="21"/>
              </w:rPr>
              <w:t>第一章：</w:t>
            </w:r>
            <w:r>
              <w:rPr>
                <w:rFonts w:hint="eastAsia" w:ascii="宋体" w:hAnsi="宋体" w:eastAsia="宋体" w:cs="宋体"/>
                <w:color w:val="000000"/>
                <w:szCs w:val="21"/>
              </w:rPr>
              <w:t>新时代坚持和发展中国特色社会主义</w:t>
            </w:r>
          </w:p>
        </w:tc>
        <w:tc>
          <w:tcPr>
            <w:tcW w:w="3273"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r>
              <w:rPr>
                <w:rFonts w:hint="eastAsia" w:ascii="宋体" w:hAnsi="宋体" w:cs="宋体"/>
                <w:kern w:val="0"/>
                <w:szCs w:val="21"/>
              </w:rPr>
              <w:t>认识新时代中国特色社会主义所处的历史方位和总任务，坚定“四个自信”</w:t>
            </w:r>
          </w:p>
        </w:tc>
        <w:tc>
          <w:tcPr>
            <w:tcW w:w="684"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6</w:t>
            </w:r>
          </w:p>
        </w:tc>
        <w:tc>
          <w:tcPr>
            <w:tcW w:w="516"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4</w:t>
            </w:r>
          </w:p>
        </w:tc>
        <w:tc>
          <w:tcPr>
            <w:tcW w:w="473"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760" w:type="dxa"/>
            <w:noWrap/>
            <w:tcMar>
              <w:top w:w="0" w:type="dxa"/>
              <w:left w:w="108" w:type="dxa"/>
              <w:bottom w:w="0" w:type="dxa"/>
              <w:right w:w="108" w:type="dxa"/>
            </w:tcMar>
            <w:vAlign w:val="center"/>
          </w:tcPr>
          <w:p>
            <w:pPr>
              <w:widowControl/>
              <w:spacing w:beforeLines="50"/>
              <w:jc w:val="center"/>
              <w:rPr>
                <w:rFonts w:ascii="宋体" w:hAnsi="宋体" w:cs="宋体"/>
                <w:kern w:val="0"/>
                <w:sz w:val="24"/>
              </w:rPr>
            </w:pPr>
            <w:r>
              <w:rPr>
                <w:rFonts w:hint="eastAsia" w:ascii="宋体" w:hAnsi="宋体" w:cs="宋体"/>
                <w:color w:val="000000"/>
                <w:kern w:val="0"/>
                <w:sz w:val="24"/>
              </w:rPr>
              <w:t> </w:t>
            </w:r>
          </w:p>
        </w:tc>
        <w:tc>
          <w:tcPr>
            <w:tcW w:w="77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r>
              <w:rPr>
                <w:rFonts w:hint="eastAsia" w:ascii="宋体" w:hAnsi="宋体" w:cs="宋体"/>
                <w:color w:val="000000"/>
                <w:kern w:val="0"/>
                <w:sz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58"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eastAsia="宋体" w:cs="宋体"/>
                <w:color w:val="000000"/>
                <w:kern w:val="0"/>
                <w:szCs w:val="21"/>
              </w:rPr>
              <w:t>第二章：以中国式现代化全面推进中华民族伟大复兴</w:t>
            </w:r>
          </w:p>
        </w:tc>
        <w:tc>
          <w:tcPr>
            <w:tcW w:w="3273"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r>
              <w:rPr>
                <w:rFonts w:hint="eastAsia" w:ascii="宋体" w:hAnsi="宋体" w:eastAsia="宋体" w:cs="宋体"/>
                <w:color w:val="000000"/>
                <w:kern w:val="0"/>
                <w:szCs w:val="21"/>
              </w:rPr>
              <w:t>全面认识中国梦的内涵，掌握中国式现代化的内涵、特色与本质要求</w:t>
            </w:r>
          </w:p>
        </w:tc>
        <w:tc>
          <w:tcPr>
            <w:tcW w:w="684"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516"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473" w:type="dxa"/>
            <w:noWrap/>
            <w:tcMar>
              <w:top w:w="0" w:type="dxa"/>
              <w:left w:w="108" w:type="dxa"/>
              <w:bottom w:w="0" w:type="dxa"/>
              <w:right w:w="108" w:type="dxa"/>
            </w:tcMar>
            <w:vAlign w:val="center"/>
          </w:tcPr>
          <w:p>
            <w:pPr>
              <w:widowControl/>
              <w:spacing w:beforeLines="50"/>
              <w:jc w:val="center"/>
              <w:rPr>
                <w:rFonts w:ascii="宋体" w:hAnsi="宋体" w:cs="宋体"/>
                <w:kern w:val="0"/>
                <w:sz w:val="24"/>
              </w:rPr>
            </w:pPr>
          </w:p>
        </w:tc>
        <w:tc>
          <w:tcPr>
            <w:tcW w:w="760" w:type="dxa"/>
            <w:noWrap/>
            <w:tcMar>
              <w:top w:w="0" w:type="dxa"/>
              <w:left w:w="108" w:type="dxa"/>
              <w:bottom w:w="0" w:type="dxa"/>
              <w:right w:w="108" w:type="dxa"/>
            </w:tcMar>
            <w:vAlign w:val="center"/>
          </w:tcPr>
          <w:p>
            <w:pPr>
              <w:widowControl/>
              <w:spacing w:beforeLines="50"/>
              <w:jc w:val="center"/>
              <w:rPr>
                <w:rFonts w:ascii="宋体" w:hAnsi="宋体" w:cs="宋体"/>
                <w:kern w:val="0"/>
                <w:sz w:val="24"/>
              </w:rPr>
            </w:pPr>
            <w:r>
              <w:rPr>
                <w:rFonts w:hint="eastAsia" w:ascii="宋体" w:hAnsi="宋体" w:cs="宋体"/>
                <w:color w:val="000000"/>
                <w:kern w:val="0"/>
                <w:sz w:val="24"/>
              </w:rPr>
              <w:t> </w:t>
            </w:r>
          </w:p>
        </w:tc>
        <w:tc>
          <w:tcPr>
            <w:tcW w:w="77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r>
              <w:rPr>
                <w:rFonts w:hint="eastAsia" w:ascii="宋体" w:hAnsi="宋体" w:cs="宋体"/>
                <w:color w:val="000000"/>
                <w:kern w:val="0"/>
                <w:sz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58"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eastAsia="宋体" w:cs="宋体"/>
                <w:kern w:val="0"/>
                <w:szCs w:val="21"/>
              </w:rPr>
              <w:t>第三章：坚持党的全面领导</w:t>
            </w:r>
          </w:p>
        </w:tc>
        <w:tc>
          <w:tcPr>
            <w:tcW w:w="3273"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r>
              <w:rPr>
                <w:rFonts w:hint="eastAsia" w:ascii="宋体" w:hAnsi="宋体" w:eastAsia="宋体" w:cs="宋体"/>
                <w:color w:val="000000"/>
                <w:kern w:val="0"/>
                <w:szCs w:val="21"/>
              </w:rPr>
              <w:t>理解中国党的领导是中国特色社会主义最本质的特征，掌握党的领导是全面的、系统的、整体的理论要求，增强“两个维护”意识</w:t>
            </w:r>
          </w:p>
        </w:tc>
        <w:tc>
          <w:tcPr>
            <w:tcW w:w="684"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4</w:t>
            </w:r>
          </w:p>
        </w:tc>
        <w:tc>
          <w:tcPr>
            <w:tcW w:w="516"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473" w:type="dxa"/>
            <w:noWrap/>
            <w:tcMar>
              <w:top w:w="0" w:type="dxa"/>
              <w:left w:w="108" w:type="dxa"/>
              <w:bottom w:w="0" w:type="dxa"/>
              <w:right w:w="108" w:type="dxa"/>
            </w:tcMar>
            <w:vAlign w:val="center"/>
          </w:tcPr>
          <w:p>
            <w:pPr>
              <w:widowControl/>
              <w:spacing w:beforeLines="50"/>
              <w:jc w:val="center"/>
              <w:rPr>
                <w:rFonts w:ascii="宋体" w:hAnsi="宋体" w:cs="宋体"/>
                <w:kern w:val="0"/>
                <w:sz w:val="24"/>
              </w:rPr>
            </w:pPr>
            <w:r>
              <w:rPr>
                <w:rFonts w:hint="eastAsia" w:ascii="宋体" w:hAnsi="宋体" w:cs="宋体"/>
                <w:color w:val="000000"/>
                <w:kern w:val="0"/>
                <w:sz w:val="24"/>
              </w:rPr>
              <w:t>2</w:t>
            </w:r>
          </w:p>
        </w:tc>
        <w:tc>
          <w:tcPr>
            <w:tcW w:w="760" w:type="dxa"/>
            <w:noWrap/>
            <w:tcMar>
              <w:top w:w="0" w:type="dxa"/>
              <w:left w:w="108" w:type="dxa"/>
              <w:bottom w:w="0" w:type="dxa"/>
              <w:right w:w="108" w:type="dxa"/>
            </w:tcMar>
            <w:vAlign w:val="center"/>
          </w:tcPr>
          <w:p>
            <w:pPr>
              <w:widowControl/>
              <w:spacing w:beforeLines="50"/>
              <w:jc w:val="center"/>
              <w:rPr>
                <w:rFonts w:ascii="宋体" w:hAnsi="宋体" w:cs="宋体"/>
                <w:kern w:val="0"/>
                <w:sz w:val="24"/>
              </w:rPr>
            </w:pPr>
            <w:r>
              <w:rPr>
                <w:rFonts w:hint="eastAsia" w:ascii="宋体" w:hAnsi="宋体" w:cs="宋体"/>
                <w:color w:val="000000"/>
                <w:kern w:val="0"/>
                <w:sz w:val="24"/>
              </w:rPr>
              <w:t> </w:t>
            </w:r>
          </w:p>
        </w:tc>
        <w:tc>
          <w:tcPr>
            <w:tcW w:w="77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r>
              <w:rPr>
                <w:rFonts w:hint="eastAsia" w:ascii="宋体" w:hAnsi="宋体" w:cs="宋体"/>
                <w:color w:val="000000"/>
                <w:kern w:val="0"/>
                <w:sz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1758"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eastAsia="宋体" w:cs="宋体"/>
                <w:color w:val="000000"/>
                <w:kern w:val="0"/>
                <w:szCs w:val="21"/>
              </w:rPr>
              <w:t>第四章：坚持以人民为中心</w:t>
            </w:r>
          </w:p>
        </w:tc>
        <w:tc>
          <w:tcPr>
            <w:tcW w:w="3273"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r>
              <w:rPr>
                <w:rFonts w:hint="eastAsia" w:ascii="宋体" w:hAnsi="宋体" w:eastAsia="宋体" w:cs="宋体"/>
                <w:color w:val="000000"/>
                <w:kern w:val="0"/>
                <w:szCs w:val="21"/>
              </w:rPr>
              <w:t>理解坚持人民至上的深刻内涵，掌握以人民为中心的发展思想</w:t>
            </w:r>
          </w:p>
        </w:tc>
        <w:tc>
          <w:tcPr>
            <w:tcW w:w="684"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4</w:t>
            </w:r>
          </w:p>
        </w:tc>
        <w:tc>
          <w:tcPr>
            <w:tcW w:w="516"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473" w:type="dxa"/>
            <w:noWrap/>
            <w:tcMar>
              <w:top w:w="0" w:type="dxa"/>
              <w:left w:w="108" w:type="dxa"/>
              <w:bottom w:w="0" w:type="dxa"/>
              <w:right w:w="108" w:type="dxa"/>
            </w:tcMar>
            <w:vAlign w:val="center"/>
          </w:tcPr>
          <w:p>
            <w:pPr>
              <w:widowControl/>
              <w:spacing w:beforeLines="50"/>
              <w:jc w:val="center"/>
              <w:rPr>
                <w:rFonts w:ascii="宋体" w:hAnsi="宋体" w:cs="宋体"/>
                <w:kern w:val="0"/>
                <w:sz w:val="24"/>
              </w:rPr>
            </w:pPr>
            <w:r>
              <w:rPr>
                <w:rFonts w:hint="eastAsia" w:ascii="宋体" w:hAnsi="宋体" w:cs="宋体"/>
                <w:kern w:val="0"/>
                <w:sz w:val="24"/>
              </w:rPr>
              <w:t>2</w:t>
            </w:r>
          </w:p>
        </w:tc>
        <w:tc>
          <w:tcPr>
            <w:tcW w:w="760" w:type="dxa"/>
            <w:noWrap/>
            <w:tcMar>
              <w:top w:w="0" w:type="dxa"/>
              <w:left w:w="108" w:type="dxa"/>
              <w:bottom w:w="0" w:type="dxa"/>
              <w:right w:w="108" w:type="dxa"/>
            </w:tcMar>
            <w:vAlign w:val="center"/>
          </w:tcPr>
          <w:p>
            <w:pPr>
              <w:widowControl/>
              <w:spacing w:beforeLines="50"/>
              <w:jc w:val="center"/>
              <w:rPr>
                <w:rFonts w:ascii="宋体" w:hAnsi="宋体" w:cs="宋体"/>
                <w:kern w:val="0"/>
                <w:sz w:val="24"/>
              </w:rPr>
            </w:pPr>
            <w:r>
              <w:rPr>
                <w:rFonts w:hint="eastAsia" w:ascii="宋体" w:hAnsi="宋体" w:cs="宋体"/>
                <w:color w:val="000000"/>
                <w:kern w:val="0"/>
                <w:sz w:val="24"/>
              </w:rPr>
              <w:t> </w:t>
            </w:r>
          </w:p>
        </w:tc>
        <w:tc>
          <w:tcPr>
            <w:tcW w:w="77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r>
              <w:rPr>
                <w:rFonts w:hint="eastAsia" w:ascii="宋体" w:hAnsi="宋体" w:cs="宋体"/>
                <w:color w:val="000000"/>
                <w:kern w:val="0"/>
                <w:sz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76" w:hRule="atLeast"/>
          <w:jc w:val="center"/>
        </w:trPr>
        <w:tc>
          <w:tcPr>
            <w:tcW w:w="1758"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eastAsia="宋体" w:cs="宋体"/>
                <w:color w:val="000000"/>
                <w:kern w:val="0"/>
                <w:szCs w:val="21"/>
              </w:rPr>
              <w:t>第五章：全面深化改革开放</w:t>
            </w:r>
          </w:p>
        </w:tc>
        <w:tc>
          <w:tcPr>
            <w:tcW w:w="3273"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r>
              <w:rPr>
                <w:rFonts w:hint="eastAsia" w:ascii="宋体" w:hAnsi="宋体" w:eastAsia="宋体" w:cs="宋体"/>
                <w:color w:val="000000"/>
                <w:kern w:val="0"/>
                <w:szCs w:val="21"/>
              </w:rPr>
              <w:t>掌握全面深化改革开放理论与全面深化改革目标</w:t>
            </w:r>
          </w:p>
        </w:tc>
        <w:tc>
          <w:tcPr>
            <w:tcW w:w="684"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516"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473" w:type="dxa"/>
            <w:noWrap/>
            <w:tcMar>
              <w:top w:w="0" w:type="dxa"/>
              <w:left w:w="108" w:type="dxa"/>
              <w:bottom w:w="0" w:type="dxa"/>
              <w:right w:w="108" w:type="dxa"/>
            </w:tcMar>
            <w:vAlign w:val="center"/>
          </w:tcPr>
          <w:p>
            <w:pPr>
              <w:widowControl/>
              <w:spacing w:beforeLines="50"/>
              <w:jc w:val="center"/>
              <w:rPr>
                <w:rFonts w:ascii="宋体" w:hAnsi="宋体" w:cs="宋体"/>
                <w:kern w:val="0"/>
                <w:sz w:val="24"/>
              </w:rPr>
            </w:pPr>
          </w:p>
        </w:tc>
        <w:tc>
          <w:tcPr>
            <w:tcW w:w="76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p>
        </w:tc>
        <w:tc>
          <w:tcPr>
            <w:tcW w:w="77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758"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eastAsia="宋体" w:cs="宋体"/>
                <w:kern w:val="0"/>
                <w:szCs w:val="21"/>
              </w:rPr>
              <w:t>第六章：推动高质量发展</w:t>
            </w:r>
          </w:p>
        </w:tc>
        <w:tc>
          <w:tcPr>
            <w:tcW w:w="3273"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r>
              <w:rPr>
                <w:rFonts w:hint="eastAsia" w:ascii="宋体" w:hAnsi="宋体" w:eastAsia="宋体" w:cs="宋体"/>
                <w:color w:val="000000"/>
                <w:kern w:val="0"/>
                <w:szCs w:val="21"/>
              </w:rPr>
              <w:t>准确理解新发展理念、新发展格局与高质量发展</w:t>
            </w:r>
          </w:p>
        </w:tc>
        <w:tc>
          <w:tcPr>
            <w:tcW w:w="684"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3</w:t>
            </w:r>
          </w:p>
        </w:tc>
        <w:tc>
          <w:tcPr>
            <w:tcW w:w="516"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3</w:t>
            </w:r>
          </w:p>
        </w:tc>
        <w:tc>
          <w:tcPr>
            <w:tcW w:w="473" w:type="dxa"/>
            <w:noWrap/>
            <w:tcMar>
              <w:top w:w="0" w:type="dxa"/>
              <w:left w:w="108" w:type="dxa"/>
              <w:bottom w:w="0" w:type="dxa"/>
              <w:right w:w="108" w:type="dxa"/>
            </w:tcMar>
            <w:vAlign w:val="center"/>
          </w:tcPr>
          <w:p>
            <w:pPr>
              <w:widowControl/>
              <w:spacing w:beforeLines="50"/>
              <w:jc w:val="center"/>
              <w:rPr>
                <w:rFonts w:ascii="宋体" w:hAnsi="宋体" w:cs="宋体"/>
                <w:kern w:val="0"/>
                <w:sz w:val="24"/>
              </w:rPr>
            </w:pPr>
          </w:p>
        </w:tc>
        <w:tc>
          <w:tcPr>
            <w:tcW w:w="76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p>
        </w:tc>
        <w:tc>
          <w:tcPr>
            <w:tcW w:w="77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758" w:type="dxa"/>
            <w:noWrap/>
            <w:tcMar>
              <w:top w:w="0" w:type="dxa"/>
              <w:left w:w="108" w:type="dxa"/>
              <w:bottom w:w="0" w:type="dxa"/>
              <w:right w:w="108" w:type="dxa"/>
            </w:tcMar>
            <w:vAlign w:val="center"/>
          </w:tcPr>
          <w:p>
            <w:pPr>
              <w:widowControl/>
              <w:spacing w:beforeLines="50"/>
              <w:jc w:val="center"/>
              <w:rPr>
                <w:rFonts w:ascii="宋体" w:hAnsi="宋体" w:cs="宋体"/>
                <w:color w:val="000000"/>
                <w:kern w:val="0"/>
                <w:sz w:val="24"/>
              </w:rPr>
            </w:pPr>
            <w:r>
              <w:rPr>
                <w:rFonts w:hint="eastAsia" w:ascii="宋体" w:hAnsi="宋体" w:eastAsia="宋体" w:cs="宋体"/>
                <w:color w:val="000000"/>
                <w:kern w:val="0"/>
                <w:szCs w:val="21"/>
              </w:rPr>
              <w:t>第七章：社会主义现代化建设的教育、科技、人才战略</w:t>
            </w:r>
          </w:p>
        </w:tc>
        <w:tc>
          <w:tcPr>
            <w:tcW w:w="3273" w:type="dxa"/>
            <w:noWrap/>
            <w:tcMar>
              <w:top w:w="0" w:type="dxa"/>
              <w:left w:w="108" w:type="dxa"/>
              <w:bottom w:w="0" w:type="dxa"/>
              <w:right w:w="108" w:type="dxa"/>
            </w:tcMar>
            <w:vAlign w:val="center"/>
          </w:tcPr>
          <w:p>
            <w:pPr>
              <w:widowControl/>
              <w:spacing w:beforeLines="50"/>
              <w:jc w:val="left"/>
              <w:rPr>
                <w:rFonts w:ascii="宋体" w:hAnsi="宋体" w:eastAsia="宋体" w:cs="宋体"/>
                <w:color w:val="000000"/>
                <w:sz w:val="18"/>
                <w:szCs w:val="18"/>
              </w:rPr>
            </w:pPr>
            <w:r>
              <w:rPr>
                <w:rFonts w:hint="eastAsia" w:ascii="宋体" w:hAnsi="宋体" w:eastAsia="宋体" w:cs="宋体"/>
                <w:color w:val="000000"/>
                <w:kern w:val="0"/>
                <w:szCs w:val="21"/>
              </w:rPr>
              <w:t>理解中国式现代化的基础性、战略性支撑，掌握建设科技强国的理论</w:t>
            </w:r>
          </w:p>
        </w:tc>
        <w:tc>
          <w:tcPr>
            <w:tcW w:w="684"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5</w:t>
            </w:r>
          </w:p>
        </w:tc>
        <w:tc>
          <w:tcPr>
            <w:tcW w:w="516"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3</w:t>
            </w:r>
          </w:p>
        </w:tc>
        <w:tc>
          <w:tcPr>
            <w:tcW w:w="473"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76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p>
        </w:tc>
        <w:tc>
          <w:tcPr>
            <w:tcW w:w="77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758" w:type="dxa"/>
            <w:noWrap/>
            <w:tcMar>
              <w:top w:w="0" w:type="dxa"/>
              <w:left w:w="108" w:type="dxa"/>
              <w:bottom w:w="0" w:type="dxa"/>
              <w:right w:w="108" w:type="dxa"/>
            </w:tcMar>
            <w:vAlign w:val="center"/>
          </w:tcPr>
          <w:p>
            <w:pPr>
              <w:widowControl/>
              <w:spacing w:beforeLines="50"/>
              <w:jc w:val="center"/>
              <w:rPr>
                <w:rFonts w:ascii="宋体" w:hAnsi="宋体" w:cs="宋体"/>
                <w:color w:val="000000"/>
                <w:kern w:val="0"/>
                <w:sz w:val="24"/>
              </w:rPr>
            </w:pPr>
            <w:r>
              <w:rPr>
                <w:rFonts w:hint="eastAsia" w:ascii="宋体" w:hAnsi="宋体" w:eastAsia="宋体" w:cs="宋体"/>
                <w:color w:val="000000"/>
                <w:kern w:val="0"/>
                <w:szCs w:val="21"/>
              </w:rPr>
              <w:t>第八章：发展全过程人民民主</w:t>
            </w:r>
          </w:p>
        </w:tc>
        <w:tc>
          <w:tcPr>
            <w:tcW w:w="3273" w:type="dxa"/>
            <w:noWrap/>
            <w:tcMar>
              <w:top w:w="0" w:type="dxa"/>
              <w:left w:w="108" w:type="dxa"/>
              <w:bottom w:w="0" w:type="dxa"/>
              <w:right w:w="108" w:type="dxa"/>
            </w:tcMar>
            <w:vAlign w:val="center"/>
          </w:tcPr>
          <w:p>
            <w:pPr>
              <w:widowControl/>
              <w:spacing w:beforeLines="50"/>
              <w:jc w:val="left"/>
              <w:rPr>
                <w:rFonts w:ascii="宋体" w:hAnsi="宋体" w:eastAsia="宋体" w:cs="宋体"/>
                <w:color w:val="000000"/>
                <w:sz w:val="18"/>
                <w:szCs w:val="18"/>
              </w:rPr>
            </w:pPr>
            <w:r>
              <w:rPr>
                <w:rFonts w:hint="eastAsia" w:ascii="宋体" w:hAnsi="宋体" w:eastAsia="宋体" w:cs="宋体"/>
                <w:color w:val="000000"/>
                <w:kern w:val="0"/>
                <w:szCs w:val="21"/>
              </w:rPr>
              <w:t>掌握全过程人民民主的理论内涵</w:t>
            </w:r>
          </w:p>
        </w:tc>
        <w:tc>
          <w:tcPr>
            <w:tcW w:w="684"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516"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473" w:type="dxa"/>
            <w:noWrap/>
            <w:tcMar>
              <w:top w:w="0" w:type="dxa"/>
              <w:left w:w="108" w:type="dxa"/>
              <w:bottom w:w="0" w:type="dxa"/>
              <w:right w:w="108" w:type="dxa"/>
            </w:tcMar>
            <w:vAlign w:val="center"/>
          </w:tcPr>
          <w:p>
            <w:pPr>
              <w:widowControl/>
              <w:spacing w:beforeLines="50"/>
              <w:jc w:val="center"/>
              <w:rPr>
                <w:rFonts w:ascii="宋体" w:hAnsi="宋体" w:cs="宋体"/>
                <w:kern w:val="0"/>
                <w:sz w:val="24"/>
              </w:rPr>
            </w:pPr>
          </w:p>
        </w:tc>
        <w:tc>
          <w:tcPr>
            <w:tcW w:w="76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p>
        </w:tc>
        <w:tc>
          <w:tcPr>
            <w:tcW w:w="77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758" w:type="dxa"/>
            <w:noWrap/>
            <w:tcMar>
              <w:top w:w="0" w:type="dxa"/>
              <w:left w:w="108" w:type="dxa"/>
              <w:bottom w:w="0" w:type="dxa"/>
              <w:right w:w="108" w:type="dxa"/>
            </w:tcMar>
            <w:vAlign w:val="center"/>
          </w:tcPr>
          <w:p>
            <w:pPr>
              <w:widowControl/>
              <w:spacing w:beforeLines="50"/>
              <w:jc w:val="center"/>
              <w:rPr>
                <w:rFonts w:ascii="宋体" w:hAnsi="宋体" w:cs="宋体"/>
                <w:color w:val="000000"/>
                <w:kern w:val="0"/>
                <w:sz w:val="24"/>
              </w:rPr>
            </w:pPr>
            <w:r>
              <w:rPr>
                <w:rFonts w:hint="eastAsia" w:ascii="宋体" w:hAnsi="宋体" w:eastAsia="宋体" w:cs="宋体"/>
                <w:color w:val="000000"/>
                <w:kern w:val="0"/>
                <w:szCs w:val="21"/>
              </w:rPr>
              <w:t>第九章：全面依法治国</w:t>
            </w:r>
          </w:p>
        </w:tc>
        <w:tc>
          <w:tcPr>
            <w:tcW w:w="3273" w:type="dxa"/>
            <w:noWrap/>
            <w:tcMar>
              <w:top w:w="0" w:type="dxa"/>
              <w:left w:w="108" w:type="dxa"/>
              <w:bottom w:w="0" w:type="dxa"/>
              <w:right w:w="108" w:type="dxa"/>
            </w:tcMar>
            <w:vAlign w:val="center"/>
          </w:tcPr>
          <w:p>
            <w:pPr>
              <w:widowControl/>
              <w:spacing w:beforeLines="50"/>
              <w:jc w:val="left"/>
              <w:rPr>
                <w:rFonts w:ascii="宋体" w:hAnsi="宋体" w:eastAsia="宋体" w:cs="宋体"/>
                <w:color w:val="000000"/>
                <w:sz w:val="18"/>
                <w:szCs w:val="18"/>
              </w:rPr>
            </w:pPr>
            <w:r>
              <w:rPr>
                <w:rFonts w:hint="eastAsia" w:ascii="宋体" w:hAnsi="宋体" w:eastAsia="宋体" w:cs="宋体"/>
                <w:color w:val="000000"/>
                <w:kern w:val="0"/>
                <w:szCs w:val="21"/>
              </w:rPr>
              <w:t>掌握中国特色法治道路的核心要义和基本原则</w:t>
            </w:r>
          </w:p>
        </w:tc>
        <w:tc>
          <w:tcPr>
            <w:tcW w:w="684"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516"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473" w:type="dxa"/>
            <w:noWrap/>
            <w:tcMar>
              <w:top w:w="0" w:type="dxa"/>
              <w:left w:w="108" w:type="dxa"/>
              <w:bottom w:w="0" w:type="dxa"/>
              <w:right w:w="108" w:type="dxa"/>
            </w:tcMar>
            <w:vAlign w:val="center"/>
          </w:tcPr>
          <w:p>
            <w:pPr>
              <w:widowControl/>
              <w:spacing w:beforeLines="50"/>
              <w:jc w:val="center"/>
              <w:rPr>
                <w:rFonts w:ascii="宋体" w:hAnsi="宋体" w:cs="宋体"/>
                <w:kern w:val="0"/>
                <w:sz w:val="24"/>
              </w:rPr>
            </w:pPr>
          </w:p>
        </w:tc>
        <w:tc>
          <w:tcPr>
            <w:tcW w:w="76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p>
        </w:tc>
        <w:tc>
          <w:tcPr>
            <w:tcW w:w="77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758" w:type="dxa"/>
            <w:noWrap/>
            <w:tcMar>
              <w:top w:w="0" w:type="dxa"/>
              <w:left w:w="108" w:type="dxa"/>
              <w:bottom w:w="0" w:type="dxa"/>
              <w:right w:w="108" w:type="dxa"/>
            </w:tcMar>
            <w:vAlign w:val="center"/>
          </w:tcPr>
          <w:p>
            <w:pPr>
              <w:widowControl/>
              <w:spacing w:beforeLines="50"/>
              <w:jc w:val="center"/>
              <w:rPr>
                <w:rFonts w:ascii="宋体" w:hAnsi="宋体" w:cs="宋体"/>
                <w:color w:val="000000"/>
                <w:kern w:val="0"/>
                <w:sz w:val="24"/>
              </w:rPr>
            </w:pPr>
            <w:r>
              <w:rPr>
                <w:rFonts w:hint="eastAsia" w:ascii="宋体" w:hAnsi="宋体" w:eastAsia="宋体" w:cs="宋体"/>
                <w:color w:val="000000"/>
                <w:kern w:val="0"/>
                <w:szCs w:val="21"/>
              </w:rPr>
              <w:t>第十章：建设社会主义文化强国</w:t>
            </w:r>
          </w:p>
        </w:tc>
        <w:tc>
          <w:tcPr>
            <w:tcW w:w="3273" w:type="dxa"/>
            <w:noWrap/>
            <w:tcMar>
              <w:top w:w="0" w:type="dxa"/>
              <w:left w:w="108" w:type="dxa"/>
              <w:bottom w:w="0" w:type="dxa"/>
              <w:right w:w="108" w:type="dxa"/>
            </w:tcMar>
            <w:vAlign w:val="center"/>
          </w:tcPr>
          <w:p>
            <w:pPr>
              <w:widowControl/>
              <w:spacing w:beforeLines="50"/>
              <w:jc w:val="left"/>
              <w:rPr>
                <w:rFonts w:ascii="宋体" w:hAnsi="宋体" w:eastAsia="宋体" w:cs="宋体"/>
                <w:color w:val="000000"/>
                <w:sz w:val="18"/>
                <w:szCs w:val="18"/>
              </w:rPr>
            </w:pPr>
            <w:r>
              <w:rPr>
                <w:rFonts w:hint="eastAsia" w:ascii="宋体" w:hAnsi="宋体" w:eastAsia="宋体" w:cs="宋体"/>
                <w:color w:val="000000"/>
                <w:kern w:val="0"/>
                <w:szCs w:val="21"/>
              </w:rPr>
              <w:t>坚定文化自信，拥护马克思主义在意识形态领域的指导地位，理解践行社会主义核心价值观</w:t>
            </w:r>
          </w:p>
        </w:tc>
        <w:tc>
          <w:tcPr>
            <w:tcW w:w="684"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516"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473"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p>
        </w:tc>
        <w:tc>
          <w:tcPr>
            <w:tcW w:w="76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p>
        </w:tc>
        <w:tc>
          <w:tcPr>
            <w:tcW w:w="77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758" w:type="dxa"/>
            <w:noWrap/>
            <w:tcMar>
              <w:top w:w="0" w:type="dxa"/>
              <w:left w:w="108" w:type="dxa"/>
              <w:bottom w:w="0" w:type="dxa"/>
              <w:right w:w="108" w:type="dxa"/>
            </w:tcMar>
            <w:vAlign w:val="center"/>
          </w:tcPr>
          <w:p>
            <w:pPr>
              <w:widowControl/>
              <w:spacing w:beforeLines="50"/>
              <w:jc w:val="center"/>
              <w:rPr>
                <w:rFonts w:ascii="宋体" w:hAnsi="宋体" w:cs="宋体"/>
                <w:color w:val="000000"/>
                <w:kern w:val="0"/>
                <w:sz w:val="24"/>
              </w:rPr>
            </w:pPr>
            <w:r>
              <w:rPr>
                <w:rFonts w:hint="eastAsia" w:ascii="宋体" w:hAnsi="宋体" w:eastAsia="宋体" w:cs="宋体"/>
                <w:color w:val="000000"/>
                <w:kern w:val="0"/>
                <w:szCs w:val="21"/>
              </w:rPr>
              <w:t>第十一章：以保障和改善民生为重点加强社会建设</w:t>
            </w:r>
          </w:p>
        </w:tc>
        <w:tc>
          <w:tcPr>
            <w:tcW w:w="3273" w:type="dxa"/>
            <w:noWrap/>
            <w:tcMar>
              <w:top w:w="0" w:type="dxa"/>
              <w:left w:w="108" w:type="dxa"/>
              <w:bottom w:w="0" w:type="dxa"/>
              <w:right w:w="108" w:type="dxa"/>
            </w:tcMar>
            <w:vAlign w:val="center"/>
          </w:tcPr>
          <w:p>
            <w:pPr>
              <w:widowControl/>
              <w:spacing w:beforeLines="50"/>
              <w:jc w:val="left"/>
              <w:rPr>
                <w:rFonts w:ascii="宋体" w:hAnsi="宋体" w:eastAsia="宋体" w:cs="宋体"/>
                <w:color w:val="000000"/>
                <w:sz w:val="18"/>
                <w:szCs w:val="18"/>
              </w:rPr>
            </w:pPr>
            <w:r>
              <w:rPr>
                <w:rFonts w:hint="eastAsia" w:ascii="宋体" w:hAnsi="宋体" w:eastAsia="宋体" w:cs="宋体"/>
                <w:color w:val="000000"/>
                <w:kern w:val="0"/>
                <w:szCs w:val="21"/>
              </w:rPr>
              <w:t>认识民生工作的重要性和主要任务，理解社会治理现代化的内涵</w:t>
            </w:r>
          </w:p>
        </w:tc>
        <w:tc>
          <w:tcPr>
            <w:tcW w:w="684"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516"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473" w:type="dxa"/>
            <w:noWrap/>
            <w:tcMar>
              <w:top w:w="0" w:type="dxa"/>
              <w:left w:w="108" w:type="dxa"/>
              <w:bottom w:w="0" w:type="dxa"/>
              <w:right w:w="108" w:type="dxa"/>
            </w:tcMar>
            <w:vAlign w:val="center"/>
          </w:tcPr>
          <w:p>
            <w:pPr>
              <w:widowControl/>
              <w:spacing w:beforeLines="50"/>
              <w:jc w:val="center"/>
              <w:rPr>
                <w:rFonts w:ascii="宋体" w:hAnsi="宋体" w:cs="宋体"/>
                <w:kern w:val="0"/>
                <w:sz w:val="24"/>
              </w:rPr>
            </w:pPr>
          </w:p>
        </w:tc>
        <w:tc>
          <w:tcPr>
            <w:tcW w:w="76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p>
        </w:tc>
        <w:tc>
          <w:tcPr>
            <w:tcW w:w="77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758" w:type="dxa"/>
            <w:noWrap/>
            <w:tcMar>
              <w:top w:w="0" w:type="dxa"/>
              <w:left w:w="108" w:type="dxa"/>
              <w:bottom w:w="0" w:type="dxa"/>
              <w:right w:w="108" w:type="dxa"/>
            </w:tcMar>
            <w:vAlign w:val="center"/>
          </w:tcPr>
          <w:p>
            <w:pPr>
              <w:widowControl/>
              <w:spacing w:beforeLines="50"/>
              <w:jc w:val="center"/>
              <w:rPr>
                <w:rFonts w:ascii="宋体" w:hAnsi="宋体" w:cs="宋体"/>
                <w:color w:val="000000"/>
                <w:kern w:val="0"/>
                <w:sz w:val="24"/>
              </w:rPr>
            </w:pPr>
            <w:r>
              <w:rPr>
                <w:rFonts w:hint="eastAsia" w:ascii="宋体" w:hAnsi="宋体" w:eastAsia="宋体" w:cs="宋体"/>
                <w:color w:val="000000"/>
                <w:kern w:val="0"/>
                <w:szCs w:val="21"/>
              </w:rPr>
              <w:t>第十二章：建设社会主义生态文明</w:t>
            </w:r>
          </w:p>
        </w:tc>
        <w:tc>
          <w:tcPr>
            <w:tcW w:w="3273" w:type="dxa"/>
            <w:noWrap/>
            <w:tcMar>
              <w:top w:w="0" w:type="dxa"/>
              <w:left w:w="108" w:type="dxa"/>
              <w:bottom w:w="0" w:type="dxa"/>
              <w:right w:w="108" w:type="dxa"/>
            </w:tcMar>
            <w:vAlign w:val="center"/>
          </w:tcPr>
          <w:p>
            <w:pPr>
              <w:widowControl/>
              <w:spacing w:beforeLines="50"/>
              <w:jc w:val="left"/>
              <w:rPr>
                <w:rFonts w:ascii="宋体" w:hAnsi="宋体" w:eastAsia="宋体" w:cs="宋体"/>
                <w:color w:val="000000"/>
                <w:sz w:val="18"/>
                <w:szCs w:val="18"/>
              </w:rPr>
            </w:pPr>
            <w:r>
              <w:rPr>
                <w:rFonts w:hint="eastAsia" w:ascii="宋体" w:hAnsi="宋体" w:eastAsia="宋体" w:cs="宋体"/>
                <w:color w:val="000000"/>
                <w:kern w:val="0"/>
                <w:szCs w:val="21"/>
              </w:rPr>
              <w:t>理解人与自然和谐共生的理念，掌握建设美丽中国的主要任务</w:t>
            </w:r>
          </w:p>
        </w:tc>
        <w:tc>
          <w:tcPr>
            <w:tcW w:w="684"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516"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473" w:type="dxa"/>
            <w:noWrap/>
            <w:tcMar>
              <w:top w:w="0" w:type="dxa"/>
              <w:left w:w="108" w:type="dxa"/>
              <w:bottom w:w="0" w:type="dxa"/>
              <w:right w:w="108" w:type="dxa"/>
            </w:tcMar>
            <w:vAlign w:val="center"/>
          </w:tcPr>
          <w:p>
            <w:pPr>
              <w:widowControl/>
              <w:spacing w:beforeLines="50"/>
              <w:jc w:val="center"/>
              <w:rPr>
                <w:rFonts w:ascii="宋体" w:hAnsi="宋体" w:cs="宋体"/>
                <w:kern w:val="0"/>
                <w:sz w:val="24"/>
              </w:rPr>
            </w:pPr>
          </w:p>
        </w:tc>
        <w:tc>
          <w:tcPr>
            <w:tcW w:w="76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p>
        </w:tc>
        <w:tc>
          <w:tcPr>
            <w:tcW w:w="77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758" w:type="dxa"/>
            <w:noWrap/>
            <w:tcMar>
              <w:top w:w="0" w:type="dxa"/>
              <w:left w:w="108" w:type="dxa"/>
              <w:bottom w:w="0" w:type="dxa"/>
              <w:right w:w="108" w:type="dxa"/>
            </w:tcMar>
            <w:vAlign w:val="center"/>
          </w:tcPr>
          <w:p>
            <w:pPr>
              <w:widowControl/>
              <w:spacing w:beforeLines="50"/>
              <w:jc w:val="center"/>
              <w:rPr>
                <w:rFonts w:ascii="宋体" w:hAnsi="宋体" w:cs="宋体"/>
                <w:color w:val="000000"/>
                <w:kern w:val="0"/>
                <w:sz w:val="24"/>
              </w:rPr>
            </w:pPr>
            <w:r>
              <w:rPr>
                <w:rFonts w:hint="eastAsia" w:ascii="宋体" w:hAnsi="宋体" w:eastAsia="宋体" w:cs="宋体"/>
                <w:color w:val="000000"/>
                <w:kern w:val="0"/>
                <w:szCs w:val="21"/>
              </w:rPr>
              <w:t>第十三章：维护和塑造国家安全</w:t>
            </w:r>
          </w:p>
        </w:tc>
        <w:tc>
          <w:tcPr>
            <w:tcW w:w="3273" w:type="dxa"/>
            <w:noWrap/>
            <w:tcMar>
              <w:top w:w="0" w:type="dxa"/>
              <w:left w:w="108" w:type="dxa"/>
              <w:bottom w:w="0" w:type="dxa"/>
              <w:right w:w="108" w:type="dxa"/>
            </w:tcMar>
            <w:vAlign w:val="center"/>
          </w:tcPr>
          <w:p>
            <w:pPr>
              <w:widowControl/>
              <w:spacing w:beforeLines="50"/>
              <w:jc w:val="left"/>
              <w:rPr>
                <w:rFonts w:ascii="宋体" w:hAnsi="宋体" w:eastAsia="宋体" w:cs="宋体"/>
                <w:color w:val="000000"/>
                <w:sz w:val="18"/>
                <w:szCs w:val="18"/>
              </w:rPr>
            </w:pPr>
            <w:r>
              <w:rPr>
                <w:rFonts w:hint="eastAsia" w:ascii="宋体" w:hAnsi="宋体" w:eastAsia="宋体" w:cs="宋体"/>
                <w:color w:val="000000"/>
                <w:kern w:val="0"/>
                <w:szCs w:val="21"/>
              </w:rPr>
              <w:t>掌握总体国家安全观的内涵</w:t>
            </w:r>
          </w:p>
        </w:tc>
        <w:tc>
          <w:tcPr>
            <w:tcW w:w="684"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516"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473" w:type="dxa"/>
            <w:noWrap/>
            <w:tcMar>
              <w:top w:w="0" w:type="dxa"/>
              <w:left w:w="108" w:type="dxa"/>
              <w:bottom w:w="0" w:type="dxa"/>
              <w:right w:w="108" w:type="dxa"/>
            </w:tcMar>
            <w:vAlign w:val="center"/>
          </w:tcPr>
          <w:p>
            <w:pPr>
              <w:widowControl/>
              <w:spacing w:beforeLines="50"/>
              <w:jc w:val="center"/>
              <w:rPr>
                <w:rFonts w:ascii="宋体" w:hAnsi="宋体" w:cs="宋体"/>
                <w:kern w:val="0"/>
                <w:sz w:val="24"/>
              </w:rPr>
            </w:pPr>
          </w:p>
        </w:tc>
        <w:tc>
          <w:tcPr>
            <w:tcW w:w="76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p>
        </w:tc>
        <w:tc>
          <w:tcPr>
            <w:tcW w:w="77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758" w:type="dxa"/>
            <w:noWrap/>
            <w:tcMar>
              <w:top w:w="0" w:type="dxa"/>
              <w:left w:w="108" w:type="dxa"/>
              <w:bottom w:w="0" w:type="dxa"/>
              <w:right w:w="108" w:type="dxa"/>
            </w:tcMar>
            <w:vAlign w:val="center"/>
          </w:tcPr>
          <w:p>
            <w:pPr>
              <w:widowControl/>
              <w:spacing w:beforeLines="50"/>
              <w:jc w:val="center"/>
              <w:rPr>
                <w:rFonts w:ascii="宋体" w:hAnsi="宋体" w:cs="宋体"/>
                <w:color w:val="000000"/>
                <w:kern w:val="0"/>
                <w:sz w:val="24"/>
              </w:rPr>
            </w:pPr>
            <w:r>
              <w:rPr>
                <w:rFonts w:hint="eastAsia" w:ascii="宋体" w:hAnsi="宋体" w:eastAsia="宋体" w:cs="宋体"/>
                <w:color w:val="000000"/>
                <w:kern w:val="0"/>
                <w:szCs w:val="21"/>
              </w:rPr>
              <w:t>第十四章：建设巩固国防和强大人民军队</w:t>
            </w:r>
          </w:p>
        </w:tc>
        <w:tc>
          <w:tcPr>
            <w:tcW w:w="3273" w:type="dxa"/>
            <w:noWrap/>
            <w:tcMar>
              <w:top w:w="0" w:type="dxa"/>
              <w:left w:w="108" w:type="dxa"/>
              <w:bottom w:w="0" w:type="dxa"/>
              <w:right w:w="108" w:type="dxa"/>
            </w:tcMar>
            <w:vAlign w:val="center"/>
          </w:tcPr>
          <w:p>
            <w:pPr>
              <w:widowControl/>
              <w:spacing w:beforeLines="50"/>
              <w:jc w:val="left"/>
              <w:rPr>
                <w:rFonts w:ascii="宋体" w:hAnsi="宋体" w:eastAsia="宋体" w:cs="宋体"/>
                <w:color w:val="000000"/>
                <w:sz w:val="18"/>
                <w:szCs w:val="18"/>
              </w:rPr>
            </w:pPr>
            <w:r>
              <w:rPr>
                <w:rFonts w:hint="eastAsia" w:ascii="宋体" w:hAnsi="宋体" w:eastAsia="宋体" w:cs="宋体"/>
                <w:color w:val="000000"/>
                <w:kern w:val="0"/>
                <w:szCs w:val="21"/>
              </w:rPr>
              <w:t>认识建设巩固国防和强大人民军队的重大意义</w:t>
            </w:r>
          </w:p>
        </w:tc>
        <w:tc>
          <w:tcPr>
            <w:tcW w:w="684"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516"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473" w:type="dxa"/>
            <w:noWrap/>
            <w:tcMar>
              <w:top w:w="0" w:type="dxa"/>
              <w:left w:w="108" w:type="dxa"/>
              <w:bottom w:w="0" w:type="dxa"/>
              <w:right w:w="108" w:type="dxa"/>
            </w:tcMar>
            <w:vAlign w:val="center"/>
          </w:tcPr>
          <w:p>
            <w:pPr>
              <w:widowControl/>
              <w:spacing w:beforeLines="50"/>
              <w:jc w:val="center"/>
              <w:rPr>
                <w:rFonts w:ascii="宋体" w:hAnsi="宋体" w:cs="宋体"/>
                <w:kern w:val="0"/>
                <w:sz w:val="24"/>
              </w:rPr>
            </w:pPr>
          </w:p>
        </w:tc>
        <w:tc>
          <w:tcPr>
            <w:tcW w:w="76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p>
        </w:tc>
        <w:tc>
          <w:tcPr>
            <w:tcW w:w="77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758" w:type="dxa"/>
            <w:noWrap/>
            <w:tcMar>
              <w:top w:w="0" w:type="dxa"/>
              <w:left w:w="108" w:type="dxa"/>
              <w:bottom w:w="0" w:type="dxa"/>
              <w:right w:w="108" w:type="dxa"/>
            </w:tcMar>
            <w:vAlign w:val="center"/>
          </w:tcPr>
          <w:p>
            <w:pPr>
              <w:widowControl/>
              <w:spacing w:beforeLines="50"/>
              <w:jc w:val="center"/>
              <w:rPr>
                <w:rFonts w:ascii="宋体" w:hAnsi="宋体" w:cs="宋体"/>
                <w:color w:val="000000"/>
                <w:kern w:val="0"/>
                <w:sz w:val="24"/>
              </w:rPr>
            </w:pPr>
            <w:r>
              <w:rPr>
                <w:rFonts w:hint="eastAsia" w:ascii="宋体" w:hAnsi="宋体" w:eastAsia="宋体" w:cs="宋体"/>
                <w:color w:val="000000"/>
                <w:kern w:val="0"/>
                <w:szCs w:val="21"/>
              </w:rPr>
              <w:t>第十五章：坚持“一国两制”和推进祖国完全统一</w:t>
            </w:r>
          </w:p>
        </w:tc>
        <w:tc>
          <w:tcPr>
            <w:tcW w:w="3273" w:type="dxa"/>
            <w:noWrap/>
            <w:tcMar>
              <w:top w:w="0" w:type="dxa"/>
              <w:left w:w="108" w:type="dxa"/>
              <w:bottom w:w="0" w:type="dxa"/>
              <w:right w:w="108" w:type="dxa"/>
            </w:tcMar>
            <w:vAlign w:val="center"/>
          </w:tcPr>
          <w:p>
            <w:pPr>
              <w:widowControl/>
              <w:spacing w:beforeLines="50"/>
              <w:jc w:val="left"/>
              <w:rPr>
                <w:rFonts w:ascii="宋体" w:hAnsi="宋体" w:eastAsia="宋体" w:cs="宋体"/>
                <w:color w:val="000000"/>
                <w:sz w:val="18"/>
                <w:szCs w:val="18"/>
              </w:rPr>
            </w:pPr>
            <w:r>
              <w:rPr>
                <w:rFonts w:hint="eastAsia" w:ascii="宋体" w:hAnsi="宋体" w:eastAsia="宋体" w:cs="宋体"/>
                <w:color w:val="000000"/>
                <w:kern w:val="0"/>
                <w:szCs w:val="21"/>
              </w:rPr>
              <w:t>掌握“一国两制”的科学内涵和重大意义，认识新时代党解决台湾问题的总体方略</w:t>
            </w:r>
          </w:p>
        </w:tc>
        <w:tc>
          <w:tcPr>
            <w:tcW w:w="684"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516"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473" w:type="dxa"/>
            <w:noWrap/>
            <w:tcMar>
              <w:top w:w="0" w:type="dxa"/>
              <w:left w:w="108" w:type="dxa"/>
              <w:bottom w:w="0" w:type="dxa"/>
              <w:right w:w="108" w:type="dxa"/>
            </w:tcMar>
            <w:vAlign w:val="center"/>
          </w:tcPr>
          <w:p>
            <w:pPr>
              <w:widowControl/>
              <w:spacing w:beforeLines="50"/>
              <w:jc w:val="center"/>
              <w:rPr>
                <w:rFonts w:ascii="宋体" w:hAnsi="宋体" w:cs="宋体"/>
                <w:kern w:val="0"/>
                <w:sz w:val="24"/>
              </w:rPr>
            </w:pPr>
          </w:p>
        </w:tc>
        <w:tc>
          <w:tcPr>
            <w:tcW w:w="76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p>
        </w:tc>
        <w:tc>
          <w:tcPr>
            <w:tcW w:w="77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758" w:type="dxa"/>
            <w:noWrap/>
            <w:tcMar>
              <w:top w:w="0" w:type="dxa"/>
              <w:left w:w="108" w:type="dxa"/>
              <w:bottom w:w="0" w:type="dxa"/>
              <w:right w:w="108" w:type="dxa"/>
            </w:tcMar>
            <w:vAlign w:val="center"/>
          </w:tcPr>
          <w:p>
            <w:pPr>
              <w:widowControl/>
              <w:spacing w:beforeLines="50"/>
              <w:jc w:val="center"/>
              <w:rPr>
                <w:rFonts w:ascii="宋体" w:hAnsi="宋体" w:cs="宋体"/>
                <w:color w:val="000000"/>
                <w:kern w:val="0"/>
                <w:sz w:val="24"/>
              </w:rPr>
            </w:pPr>
            <w:r>
              <w:rPr>
                <w:rFonts w:hint="eastAsia" w:ascii="宋体" w:hAnsi="宋体" w:eastAsia="宋体" w:cs="宋体"/>
                <w:color w:val="000000"/>
                <w:kern w:val="0"/>
                <w:szCs w:val="21"/>
              </w:rPr>
              <w:t>第十六章：中国特色大国外交和推动构建人类命运共同体</w:t>
            </w:r>
          </w:p>
        </w:tc>
        <w:tc>
          <w:tcPr>
            <w:tcW w:w="3273" w:type="dxa"/>
            <w:noWrap/>
            <w:tcMar>
              <w:top w:w="0" w:type="dxa"/>
              <w:left w:w="108" w:type="dxa"/>
              <w:bottom w:w="0" w:type="dxa"/>
              <w:right w:w="108" w:type="dxa"/>
            </w:tcMar>
            <w:vAlign w:val="center"/>
          </w:tcPr>
          <w:p>
            <w:pPr>
              <w:widowControl/>
              <w:spacing w:beforeLines="50"/>
              <w:jc w:val="left"/>
              <w:rPr>
                <w:rFonts w:ascii="宋体" w:hAnsi="宋体" w:eastAsia="宋体" w:cs="宋体"/>
                <w:color w:val="000000"/>
                <w:sz w:val="18"/>
                <w:szCs w:val="18"/>
              </w:rPr>
            </w:pPr>
            <w:r>
              <w:rPr>
                <w:rFonts w:hint="eastAsia" w:ascii="宋体" w:hAnsi="宋体" w:eastAsia="宋体" w:cs="宋体"/>
                <w:color w:val="000000"/>
                <w:kern w:val="0"/>
                <w:szCs w:val="21"/>
              </w:rPr>
              <w:t>掌握全面推进中国特色大国外交的原则和布局，理解推动构建人类命运共同体的丰富内涵</w:t>
            </w:r>
          </w:p>
        </w:tc>
        <w:tc>
          <w:tcPr>
            <w:tcW w:w="684"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516"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473" w:type="dxa"/>
            <w:noWrap/>
            <w:tcMar>
              <w:top w:w="0" w:type="dxa"/>
              <w:left w:w="108" w:type="dxa"/>
              <w:bottom w:w="0" w:type="dxa"/>
              <w:right w:w="108" w:type="dxa"/>
            </w:tcMar>
            <w:vAlign w:val="center"/>
          </w:tcPr>
          <w:p>
            <w:pPr>
              <w:widowControl/>
              <w:spacing w:beforeLines="50"/>
              <w:jc w:val="center"/>
              <w:rPr>
                <w:rFonts w:ascii="宋体" w:hAnsi="宋体" w:cs="宋体"/>
                <w:kern w:val="0"/>
                <w:sz w:val="24"/>
              </w:rPr>
            </w:pPr>
          </w:p>
        </w:tc>
        <w:tc>
          <w:tcPr>
            <w:tcW w:w="76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p>
        </w:tc>
        <w:tc>
          <w:tcPr>
            <w:tcW w:w="77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758" w:type="dxa"/>
            <w:noWrap/>
            <w:tcMar>
              <w:top w:w="0" w:type="dxa"/>
              <w:left w:w="108" w:type="dxa"/>
              <w:bottom w:w="0" w:type="dxa"/>
              <w:right w:w="108" w:type="dxa"/>
            </w:tcMar>
            <w:vAlign w:val="center"/>
          </w:tcPr>
          <w:p>
            <w:pPr>
              <w:widowControl/>
              <w:spacing w:beforeLines="50"/>
              <w:jc w:val="center"/>
              <w:rPr>
                <w:rFonts w:ascii="宋体" w:hAnsi="宋体" w:eastAsia="宋体" w:cs="宋体"/>
                <w:color w:val="000000"/>
                <w:kern w:val="0"/>
                <w:sz w:val="24"/>
              </w:rPr>
            </w:pPr>
            <w:r>
              <w:rPr>
                <w:rFonts w:hint="eastAsia" w:ascii="宋体" w:hAnsi="宋体" w:eastAsia="宋体" w:cs="宋体"/>
                <w:kern w:val="0"/>
                <w:szCs w:val="21"/>
              </w:rPr>
              <w:t>第十七章：全面从严治党</w:t>
            </w:r>
          </w:p>
        </w:tc>
        <w:tc>
          <w:tcPr>
            <w:tcW w:w="3273"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r>
              <w:rPr>
                <w:rFonts w:hint="eastAsia" w:ascii="宋体" w:hAnsi="宋体" w:eastAsia="宋体" w:cs="宋体"/>
                <w:color w:val="000000"/>
                <w:kern w:val="0"/>
                <w:szCs w:val="21"/>
              </w:rPr>
              <w:t>认识全面从严治党是党的一场自我革命，认识全面从严治党的伟大成就</w:t>
            </w:r>
          </w:p>
        </w:tc>
        <w:tc>
          <w:tcPr>
            <w:tcW w:w="684"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2</w:t>
            </w:r>
          </w:p>
        </w:tc>
        <w:tc>
          <w:tcPr>
            <w:tcW w:w="516" w:type="dxa"/>
            <w:noWrap/>
            <w:tcMar>
              <w:top w:w="0" w:type="dxa"/>
              <w:left w:w="108" w:type="dxa"/>
              <w:bottom w:w="0" w:type="dxa"/>
              <w:right w:w="108" w:type="dxa"/>
            </w:tcMar>
            <w:vAlign w:val="center"/>
          </w:tcPr>
          <w:p>
            <w:pPr>
              <w:widowControl/>
              <w:spacing w:beforeLines="50"/>
              <w:jc w:val="center"/>
              <w:rPr>
                <w:rFonts w:ascii="宋体" w:hAnsi="宋体" w:cs="宋体"/>
                <w:kern w:val="0"/>
                <w:sz w:val="24"/>
              </w:rPr>
            </w:pPr>
            <w:r>
              <w:rPr>
                <w:rFonts w:hint="eastAsia" w:ascii="宋体" w:hAnsi="宋体" w:cs="宋体"/>
                <w:kern w:val="0"/>
                <w:sz w:val="24"/>
              </w:rPr>
              <w:t>2</w:t>
            </w:r>
          </w:p>
        </w:tc>
        <w:tc>
          <w:tcPr>
            <w:tcW w:w="473" w:type="dxa"/>
            <w:noWrap/>
            <w:tcMar>
              <w:top w:w="0" w:type="dxa"/>
              <w:left w:w="108" w:type="dxa"/>
              <w:bottom w:w="0" w:type="dxa"/>
              <w:right w:w="108" w:type="dxa"/>
            </w:tcMar>
            <w:vAlign w:val="center"/>
          </w:tcPr>
          <w:p>
            <w:pPr>
              <w:widowControl/>
              <w:spacing w:beforeLines="50"/>
              <w:jc w:val="center"/>
              <w:rPr>
                <w:rFonts w:ascii="宋体" w:hAnsi="宋体" w:cs="宋体"/>
                <w:kern w:val="0"/>
                <w:sz w:val="24"/>
              </w:rPr>
            </w:pPr>
          </w:p>
        </w:tc>
        <w:tc>
          <w:tcPr>
            <w:tcW w:w="76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p>
        </w:tc>
        <w:tc>
          <w:tcPr>
            <w:tcW w:w="770" w:type="dxa"/>
            <w:noWrap/>
            <w:tcMar>
              <w:top w:w="0" w:type="dxa"/>
              <w:left w:w="108" w:type="dxa"/>
              <w:bottom w:w="0" w:type="dxa"/>
              <w:right w:w="108" w:type="dxa"/>
            </w:tcMar>
            <w:vAlign w:val="center"/>
          </w:tcPr>
          <w:p>
            <w:pPr>
              <w:widowControl/>
              <w:spacing w:beforeLines="5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 w:hRule="atLeast"/>
          <w:jc w:val="center"/>
        </w:trPr>
        <w:tc>
          <w:tcPr>
            <w:tcW w:w="5031" w:type="dxa"/>
            <w:gridSpan w:val="2"/>
            <w:noWrap/>
            <w:tcMar>
              <w:top w:w="0" w:type="dxa"/>
              <w:left w:w="108" w:type="dxa"/>
              <w:bottom w:w="0" w:type="dxa"/>
              <w:right w:w="108" w:type="dxa"/>
            </w:tcMar>
            <w:vAlign w:val="center"/>
          </w:tcPr>
          <w:p>
            <w:pPr>
              <w:widowControl/>
              <w:spacing w:beforeLines="50"/>
              <w:jc w:val="left"/>
              <w:rPr>
                <w:rFonts w:ascii="宋体" w:hAnsi="宋体" w:cs="宋体"/>
                <w:kern w:val="0"/>
                <w:sz w:val="24"/>
              </w:rPr>
            </w:pPr>
            <w:r>
              <w:rPr>
                <w:rFonts w:hint="eastAsia" w:ascii="宋体" w:hAnsi="宋体" w:cs="宋体"/>
                <w:kern w:val="0"/>
                <w:sz w:val="24"/>
              </w:rPr>
              <w:t>合计</w:t>
            </w:r>
          </w:p>
        </w:tc>
        <w:tc>
          <w:tcPr>
            <w:tcW w:w="684" w:type="dxa"/>
            <w:noWrap/>
            <w:tcMar>
              <w:top w:w="0" w:type="dxa"/>
              <w:left w:w="108" w:type="dxa"/>
              <w:bottom w:w="0" w:type="dxa"/>
              <w:right w:w="108" w:type="dxa"/>
            </w:tcMar>
            <w:vAlign w:val="center"/>
          </w:tcPr>
          <w:p>
            <w:pPr>
              <w:widowControl/>
              <w:spacing w:beforeLines="50"/>
              <w:jc w:val="center"/>
              <w:rPr>
                <w:rFonts w:ascii="宋体" w:hAnsi="宋体" w:cs="宋体"/>
                <w:color w:val="000000"/>
                <w:kern w:val="0"/>
                <w:sz w:val="24"/>
              </w:rPr>
            </w:pPr>
            <w:r>
              <w:rPr>
                <w:rFonts w:hint="eastAsia" w:ascii="宋体" w:hAnsi="宋体" w:cs="宋体"/>
                <w:color w:val="000000"/>
                <w:kern w:val="0"/>
                <w:sz w:val="24"/>
              </w:rPr>
              <w:t>48</w:t>
            </w:r>
          </w:p>
        </w:tc>
        <w:tc>
          <w:tcPr>
            <w:tcW w:w="516" w:type="dxa"/>
            <w:noWrap/>
            <w:tcMar>
              <w:top w:w="0" w:type="dxa"/>
              <w:left w:w="108" w:type="dxa"/>
              <w:bottom w:w="0" w:type="dxa"/>
              <w:right w:w="108" w:type="dxa"/>
            </w:tcMar>
            <w:vAlign w:val="center"/>
          </w:tcPr>
          <w:p>
            <w:pPr>
              <w:widowControl/>
              <w:spacing w:beforeLines="50"/>
              <w:jc w:val="center"/>
              <w:rPr>
                <w:rFonts w:ascii="宋体" w:hAnsi="宋体" w:eastAsia="宋体" w:cs="宋体"/>
                <w:color w:val="000000"/>
                <w:kern w:val="0"/>
                <w:sz w:val="24"/>
              </w:rPr>
            </w:pPr>
            <w:r>
              <w:rPr>
                <w:rFonts w:hint="eastAsia" w:ascii="宋体" w:hAnsi="宋体" w:cs="宋体"/>
                <w:color w:val="000000"/>
                <w:kern w:val="0"/>
                <w:sz w:val="24"/>
              </w:rPr>
              <w:t>40</w:t>
            </w:r>
          </w:p>
        </w:tc>
        <w:tc>
          <w:tcPr>
            <w:tcW w:w="473" w:type="dxa"/>
            <w:noWrap/>
            <w:tcMar>
              <w:top w:w="0" w:type="dxa"/>
              <w:left w:w="108" w:type="dxa"/>
              <w:bottom w:w="0" w:type="dxa"/>
              <w:right w:w="108" w:type="dxa"/>
            </w:tcMar>
            <w:vAlign w:val="center"/>
          </w:tcPr>
          <w:p>
            <w:pPr>
              <w:widowControl/>
              <w:spacing w:beforeLines="50"/>
              <w:jc w:val="center"/>
              <w:rPr>
                <w:rFonts w:ascii="宋体" w:hAnsi="宋体" w:eastAsia="宋体" w:cs="宋体"/>
                <w:kern w:val="0"/>
                <w:sz w:val="24"/>
              </w:rPr>
            </w:pPr>
            <w:r>
              <w:rPr>
                <w:rFonts w:hint="eastAsia" w:ascii="宋体" w:hAnsi="宋体" w:cs="宋体"/>
                <w:kern w:val="0"/>
                <w:sz w:val="24"/>
              </w:rPr>
              <w:t>8</w:t>
            </w:r>
          </w:p>
        </w:tc>
        <w:tc>
          <w:tcPr>
            <w:tcW w:w="760" w:type="dxa"/>
            <w:noWrap/>
            <w:tcMar>
              <w:top w:w="0" w:type="dxa"/>
              <w:left w:w="108" w:type="dxa"/>
              <w:bottom w:w="0" w:type="dxa"/>
              <w:right w:w="108" w:type="dxa"/>
            </w:tcMar>
            <w:vAlign w:val="center"/>
          </w:tcPr>
          <w:p>
            <w:pPr>
              <w:widowControl/>
              <w:spacing w:beforeLines="50"/>
              <w:jc w:val="center"/>
              <w:rPr>
                <w:rFonts w:ascii="宋体" w:hAnsi="宋体" w:cs="宋体"/>
                <w:color w:val="000000"/>
                <w:kern w:val="0"/>
                <w:sz w:val="24"/>
              </w:rPr>
            </w:pPr>
          </w:p>
        </w:tc>
        <w:tc>
          <w:tcPr>
            <w:tcW w:w="770" w:type="dxa"/>
            <w:noWrap/>
            <w:tcMar>
              <w:top w:w="0" w:type="dxa"/>
              <w:left w:w="108" w:type="dxa"/>
              <w:bottom w:w="0" w:type="dxa"/>
              <w:right w:w="108" w:type="dxa"/>
            </w:tcMar>
            <w:vAlign w:val="center"/>
          </w:tcPr>
          <w:p>
            <w:pPr>
              <w:widowControl/>
              <w:spacing w:beforeLines="50"/>
              <w:jc w:val="left"/>
              <w:rPr>
                <w:rFonts w:ascii="宋体" w:hAnsi="宋体" w:cs="宋体"/>
                <w:color w:val="000000"/>
                <w:kern w:val="0"/>
                <w:sz w:val="24"/>
              </w:rPr>
            </w:pPr>
          </w:p>
        </w:tc>
      </w:tr>
    </w:tbl>
    <w:p>
      <w:pPr>
        <w:pStyle w:val="18"/>
        <w:spacing w:line="420" w:lineRule="exact"/>
        <w:rPr>
          <w:rFonts w:asciiTheme="minorHAnsi" w:hAnsiTheme="minorHAnsi" w:eastAsiaTheme="minorEastAsia" w:cstheme="minorBidi"/>
          <w:kern w:val="2"/>
          <w:sz w:val="21"/>
        </w:rPr>
      </w:pPr>
      <w:r>
        <w:rPr>
          <w:rFonts w:hint="eastAsia" w:asciiTheme="minorEastAsia" w:hAnsiTheme="minorEastAsia" w:eastAsiaTheme="minorEastAsia" w:cstheme="minorEastAsia"/>
          <w:b/>
          <w:bCs/>
          <w:sz w:val="28"/>
          <w:szCs w:val="28"/>
        </w:rPr>
        <w:t>六、课程考核方式</w:t>
      </w:r>
    </w:p>
    <w:p>
      <w:pPr>
        <w:autoSpaceDE w:val="0"/>
        <w:autoSpaceDN w:val="0"/>
        <w:adjustRightInd w:val="0"/>
        <w:spacing w:line="42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本门课程采用</w:t>
      </w:r>
      <w:bookmarkStart w:id="1" w:name="_Hlk40222540"/>
      <w:r>
        <w:rPr>
          <w:rFonts w:hint="eastAsia" w:asciiTheme="minorEastAsia" w:hAnsiTheme="minorEastAsia" w:cstheme="minorEastAsia"/>
          <w:kern w:val="0"/>
          <w:sz w:val="24"/>
        </w:rPr>
        <w:t>“N+1”过程性考核的方式进行</w:t>
      </w:r>
      <w:bookmarkEnd w:id="1"/>
      <w:r>
        <w:rPr>
          <w:rFonts w:hint="eastAsia" w:asciiTheme="minorEastAsia" w:hAnsiTheme="minorEastAsia" w:cstheme="minorEastAsia"/>
          <w:kern w:val="0"/>
          <w:sz w:val="24"/>
        </w:rPr>
        <w:t>考核。</w:t>
      </w:r>
    </w:p>
    <w:p>
      <w:pPr>
        <w:autoSpaceDE w:val="0"/>
        <w:autoSpaceDN w:val="0"/>
        <w:adjustRightInd w:val="0"/>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kern w:val="0"/>
          <w:sz w:val="24"/>
        </w:rPr>
        <w:t>考核方式：采用</w:t>
      </w:r>
      <w:r>
        <w:rPr>
          <w:rFonts w:hint="eastAsia" w:asciiTheme="minorEastAsia" w:hAnsiTheme="minorEastAsia" w:cstheme="minorEastAsia"/>
          <w:color w:val="000000"/>
          <w:sz w:val="24"/>
        </w:rPr>
        <w:t>平时课堂表现、课内实践报告和期末考试</w:t>
      </w:r>
      <w:r>
        <w:rPr>
          <w:rFonts w:hint="eastAsia" w:asciiTheme="minorEastAsia" w:hAnsiTheme="minorEastAsia" w:cstheme="minorEastAsia"/>
          <w:kern w:val="0"/>
          <w:sz w:val="24"/>
        </w:rPr>
        <w:t>相结合的形式对学生课程成绩进行综合评定。课程总成绩中，</w:t>
      </w:r>
      <w:r>
        <w:rPr>
          <w:rFonts w:hint="eastAsia" w:asciiTheme="minorEastAsia" w:hAnsiTheme="minorEastAsia" w:cstheme="minorEastAsia"/>
          <w:color w:val="000000"/>
          <w:sz w:val="24"/>
        </w:rPr>
        <w:t>平时课堂表现</w:t>
      </w:r>
      <w:r>
        <w:rPr>
          <w:rFonts w:hint="eastAsia" w:asciiTheme="minorEastAsia" w:hAnsiTheme="minorEastAsia" w:cstheme="minorEastAsia"/>
          <w:kern w:val="0"/>
          <w:sz w:val="24"/>
        </w:rPr>
        <w:t>成绩占3</w:t>
      </w:r>
      <w:r>
        <w:rPr>
          <w:rFonts w:hint="eastAsia" w:asciiTheme="minorEastAsia" w:hAnsiTheme="minorEastAsia" w:cstheme="minorEastAsia"/>
          <w:color w:val="000000"/>
          <w:sz w:val="24"/>
        </w:rPr>
        <w:t>0</w:t>
      </w:r>
      <w:r>
        <w:rPr>
          <w:rFonts w:hint="eastAsia" w:asciiTheme="minorEastAsia" w:hAnsiTheme="minorEastAsia" w:cstheme="minorEastAsia"/>
          <w:kern w:val="0"/>
          <w:sz w:val="24"/>
        </w:rPr>
        <w:t>%、</w:t>
      </w:r>
      <w:r>
        <w:rPr>
          <w:rFonts w:hint="eastAsia" w:asciiTheme="minorEastAsia" w:hAnsiTheme="minorEastAsia" w:cstheme="minorEastAsia"/>
          <w:color w:val="000000"/>
          <w:sz w:val="24"/>
        </w:rPr>
        <w:t>课内实践报告</w:t>
      </w:r>
      <w:r>
        <w:rPr>
          <w:rFonts w:hint="eastAsia" w:asciiTheme="minorEastAsia" w:hAnsiTheme="minorEastAsia" w:cstheme="minorEastAsia"/>
          <w:kern w:val="0"/>
          <w:sz w:val="24"/>
        </w:rPr>
        <w:t>成绩占2</w:t>
      </w:r>
      <w:r>
        <w:rPr>
          <w:rFonts w:hint="eastAsia" w:asciiTheme="minorEastAsia" w:hAnsiTheme="minorEastAsia" w:cstheme="minorEastAsia"/>
          <w:color w:val="000000"/>
          <w:sz w:val="24"/>
        </w:rPr>
        <w:t>0</w:t>
      </w:r>
      <w:r>
        <w:rPr>
          <w:rFonts w:hint="eastAsia" w:asciiTheme="minorEastAsia" w:hAnsiTheme="minorEastAsia" w:cstheme="minorEastAsia"/>
          <w:kern w:val="0"/>
          <w:sz w:val="24"/>
        </w:rPr>
        <w:t>%、期末考试成绩占</w:t>
      </w:r>
      <w:r>
        <w:rPr>
          <w:rFonts w:hint="eastAsia" w:asciiTheme="minorEastAsia" w:hAnsiTheme="minorEastAsia" w:cstheme="minorEastAsia"/>
          <w:color w:val="000000"/>
          <w:sz w:val="24"/>
        </w:rPr>
        <w:t>50</w:t>
      </w:r>
      <w:r>
        <w:rPr>
          <w:rFonts w:hint="eastAsia" w:asciiTheme="minorEastAsia" w:hAnsiTheme="minorEastAsia" w:cstheme="minorEastAsia"/>
          <w:kern w:val="0"/>
          <w:sz w:val="24"/>
        </w:rPr>
        <w:t>%。</w:t>
      </w:r>
    </w:p>
    <w:p>
      <w:pPr>
        <w:pStyle w:val="18"/>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课程目标与课程考核环节的对应关系：</w:t>
      </w:r>
    </w:p>
    <w:tbl>
      <w:tblPr>
        <w:tblStyle w:val="11"/>
        <w:tblW w:w="8132" w:type="dxa"/>
        <w:jc w:val="center"/>
        <w:tblLayout w:type="fixed"/>
        <w:tblCellMar>
          <w:top w:w="0" w:type="dxa"/>
          <w:left w:w="57" w:type="dxa"/>
          <w:bottom w:w="0" w:type="dxa"/>
          <w:right w:w="57" w:type="dxa"/>
        </w:tblCellMar>
      </w:tblPr>
      <w:tblGrid>
        <w:gridCol w:w="752"/>
        <w:gridCol w:w="1644"/>
        <w:gridCol w:w="1947"/>
        <w:gridCol w:w="1593"/>
        <w:gridCol w:w="1180"/>
        <w:gridCol w:w="1016"/>
      </w:tblGrid>
      <w:tr>
        <w:tblPrEx>
          <w:tblCellMar>
            <w:top w:w="0" w:type="dxa"/>
            <w:left w:w="57" w:type="dxa"/>
            <w:bottom w:w="0" w:type="dxa"/>
            <w:right w:w="57" w:type="dxa"/>
          </w:tblCellMar>
        </w:tblPrEx>
        <w:trPr>
          <w:trHeight w:val="20" w:hRule="atLeast"/>
          <w:jc w:val="center"/>
        </w:trPr>
        <w:tc>
          <w:tcPr>
            <w:tcW w:w="752" w:type="dxa"/>
            <w:vMerge w:val="restart"/>
            <w:tcBorders>
              <w:top w:val="single" w:color="auto" w:sz="4" w:space="0"/>
              <w:left w:val="single" w:color="auto" w:sz="4" w:space="0"/>
              <w:right w:val="single" w:color="auto" w:sz="4" w:space="0"/>
            </w:tcBorders>
            <w:vAlign w:val="center"/>
          </w:tcPr>
          <w:p>
            <w:pPr>
              <w:autoSpaceDE w:val="0"/>
              <w:spacing w:beforeLines="10" w:afterLines="10" w:line="276" w:lineRule="auto"/>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序号</w:t>
            </w:r>
          </w:p>
        </w:tc>
        <w:tc>
          <w:tcPr>
            <w:tcW w:w="1644" w:type="dxa"/>
            <w:vMerge w:val="restart"/>
            <w:tcBorders>
              <w:top w:val="single" w:color="auto" w:sz="4" w:space="0"/>
              <w:left w:val="single" w:color="auto" w:sz="4" w:space="0"/>
              <w:bottom w:val="single" w:color="auto" w:sz="4" w:space="0"/>
              <w:right w:val="single" w:color="auto" w:sz="4" w:space="0"/>
            </w:tcBorders>
            <w:vAlign w:val="center"/>
          </w:tcPr>
          <w:p>
            <w:pPr>
              <w:autoSpaceDE w:val="0"/>
              <w:spacing w:beforeLines="10" w:afterLines="10" w:line="276" w:lineRule="auto"/>
              <w:ind w:right="105" w:rightChars="50" w:firstLine="211" w:firstLineChars="100"/>
              <w:jc w:val="center"/>
              <w:rPr>
                <w:rFonts w:asciiTheme="minorEastAsia" w:hAnsiTheme="minorEastAsia" w:cstheme="minorEastAsia"/>
                <w:b/>
                <w:bCs/>
                <w:szCs w:val="21"/>
              </w:rPr>
            </w:pPr>
            <w:r>
              <w:rPr>
                <w:rFonts w:hint="eastAsia" w:asciiTheme="minorEastAsia" w:hAnsiTheme="minorEastAsia" w:cstheme="minorEastAsia"/>
                <w:b/>
                <w:bCs/>
                <w:szCs w:val="21"/>
              </w:rPr>
              <w:t>课程</w:t>
            </w:r>
          </w:p>
          <w:p>
            <w:pPr>
              <w:autoSpaceDE w:val="0"/>
              <w:spacing w:beforeLines="10" w:afterLines="10" w:line="276" w:lineRule="auto"/>
              <w:ind w:right="105" w:rightChars="50" w:firstLine="211" w:firstLineChars="100"/>
              <w:jc w:val="center"/>
              <w:rPr>
                <w:rFonts w:asciiTheme="minorEastAsia" w:hAnsiTheme="minorEastAsia" w:cstheme="minorEastAsia"/>
                <w:b/>
                <w:bCs/>
                <w:szCs w:val="21"/>
              </w:rPr>
            </w:pPr>
            <w:r>
              <w:rPr>
                <w:rFonts w:hint="eastAsia" w:asciiTheme="minorEastAsia" w:hAnsiTheme="minorEastAsia" w:cstheme="minorEastAsia"/>
                <w:b/>
                <w:bCs/>
                <w:szCs w:val="21"/>
              </w:rPr>
              <w:t>目标</w:t>
            </w:r>
          </w:p>
        </w:tc>
        <w:tc>
          <w:tcPr>
            <w:tcW w:w="4720" w:type="dxa"/>
            <w:gridSpan w:val="3"/>
            <w:tcBorders>
              <w:top w:val="single" w:color="auto" w:sz="4" w:space="0"/>
              <w:left w:val="nil"/>
              <w:bottom w:val="single" w:color="auto" w:sz="4" w:space="0"/>
              <w:right w:val="single" w:color="auto" w:sz="4" w:space="0"/>
            </w:tcBorders>
            <w:vAlign w:val="center"/>
          </w:tcPr>
          <w:p>
            <w:pPr>
              <w:autoSpaceDE w:val="0"/>
              <w:spacing w:beforeLines="10" w:afterLines="10" w:line="276" w:lineRule="auto"/>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考核环节</w:t>
            </w:r>
          </w:p>
        </w:tc>
        <w:tc>
          <w:tcPr>
            <w:tcW w:w="1016" w:type="dxa"/>
            <w:vMerge w:val="restart"/>
            <w:tcBorders>
              <w:top w:val="single" w:color="auto" w:sz="4" w:space="0"/>
              <w:left w:val="nil"/>
              <w:bottom w:val="single" w:color="auto" w:sz="4" w:space="0"/>
              <w:right w:val="single" w:color="auto" w:sz="4" w:space="0"/>
            </w:tcBorders>
            <w:vAlign w:val="center"/>
          </w:tcPr>
          <w:p>
            <w:pPr>
              <w:autoSpaceDE w:val="0"/>
              <w:spacing w:beforeLines="10" w:afterLines="10" w:line="276" w:lineRule="auto"/>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合计</w:t>
            </w:r>
          </w:p>
        </w:tc>
      </w:tr>
      <w:tr>
        <w:tblPrEx>
          <w:tblCellMar>
            <w:top w:w="0" w:type="dxa"/>
            <w:left w:w="57" w:type="dxa"/>
            <w:bottom w:w="0" w:type="dxa"/>
            <w:right w:w="57" w:type="dxa"/>
          </w:tblCellMar>
        </w:tblPrEx>
        <w:trPr>
          <w:trHeight w:val="20" w:hRule="atLeast"/>
          <w:jc w:val="center"/>
        </w:trPr>
        <w:tc>
          <w:tcPr>
            <w:tcW w:w="752" w:type="dxa"/>
            <w:vMerge w:val="continue"/>
            <w:tcBorders>
              <w:left w:val="single" w:color="auto" w:sz="4" w:space="0"/>
              <w:bottom w:val="single" w:color="auto" w:sz="4" w:space="0"/>
              <w:right w:val="single" w:color="auto" w:sz="4" w:space="0"/>
            </w:tcBorders>
          </w:tcPr>
          <w:p>
            <w:pPr>
              <w:widowControl/>
              <w:spacing w:line="276" w:lineRule="auto"/>
              <w:jc w:val="left"/>
              <w:rPr>
                <w:rFonts w:asciiTheme="minorEastAsia" w:hAnsiTheme="minorEastAsia" w:cstheme="minorEastAsia"/>
                <w:b/>
                <w:bCs/>
                <w:szCs w:val="21"/>
              </w:rPr>
            </w:pPr>
          </w:p>
        </w:tc>
        <w:tc>
          <w:tcPr>
            <w:tcW w:w="16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Theme="minorEastAsia" w:hAnsiTheme="minorEastAsia" w:cstheme="minorEastAsia"/>
                <w:b/>
                <w:bCs/>
                <w:szCs w:val="21"/>
              </w:rPr>
            </w:pPr>
          </w:p>
        </w:tc>
        <w:tc>
          <w:tcPr>
            <w:tcW w:w="1947" w:type="dxa"/>
            <w:tcBorders>
              <w:top w:val="single" w:color="auto" w:sz="4" w:space="0"/>
              <w:left w:val="nil"/>
              <w:bottom w:val="single" w:color="auto" w:sz="4" w:space="0"/>
              <w:right w:val="single" w:color="auto" w:sz="4" w:space="0"/>
            </w:tcBorders>
            <w:vAlign w:val="center"/>
          </w:tcPr>
          <w:p>
            <w:pPr>
              <w:autoSpaceDE w:val="0"/>
              <w:spacing w:line="276" w:lineRule="auto"/>
              <w:jc w:val="center"/>
              <w:rPr>
                <w:rFonts w:asciiTheme="minorEastAsia" w:hAnsiTheme="minorEastAsia" w:cstheme="minorEastAsia"/>
                <w:b/>
                <w:bCs/>
                <w:szCs w:val="21"/>
              </w:rPr>
            </w:pPr>
            <w:r>
              <w:rPr>
                <w:rFonts w:hint="eastAsia" w:asciiTheme="minorEastAsia" w:hAnsiTheme="minorEastAsia" w:cstheme="minorEastAsia"/>
                <w:b/>
                <w:bCs/>
                <w:szCs w:val="21"/>
              </w:rPr>
              <w:t>平时课堂表现</w:t>
            </w:r>
          </w:p>
          <w:p>
            <w:pPr>
              <w:autoSpaceDE w:val="0"/>
              <w:spacing w:line="276" w:lineRule="auto"/>
              <w:jc w:val="center"/>
              <w:rPr>
                <w:rFonts w:asciiTheme="minorEastAsia" w:hAnsiTheme="minorEastAsia" w:cstheme="minorEastAsia"/>
                <w:b/>
                <w:bCs/>
                <w:szCs w:val="21"/>
              </w:rPr>
            </w:pPr>
            <w:r>
              <w:rPr>
                <w:rFonts w:asciiTheme="minorEastAsia" w:hAnsiTheme="minorEastAsia" w:cstheme="minorEastAsia"/>
                <w:b/>
                <w:bCs/>
                <w:szCs w:val="21"/>
              </w:rPr>
              <w:t>3</w:t>
            </w:r>
            <w:r>
              <w:rPr>
                <w:rFonts w:hint="eastAsia" w:asciiTheme="minorEastAsia" w:hAnsiTheme="minorEastAsia" w:cstheme="minorEastAsia"/>
                <w:b/>
                <w:bCs/>
                <w:szCs w:val="21"/>
              </w:rPr>
              <w:t>0%</w:t>
            </w:r>
          </w:p>
        </w:tc>
        <w:tc>
          <w:tcPr>
            <w:tcW w:w="1593" w:type="dxa"/>
            <w:tcBorders>
              <w:top w:val="single" w:color="auto" w:sz="4" w:space="0"/>
              <w:left w:val="nil"/>
              <w:bottom w:val="single" w:color="auto" w:sz="4" w:space="0"/>
              <w:right w:val="single" w:color="auto" w:sz="4" w:space="0"/>
            </w:tcBorders>
            <w:vAlign w:val="center"/>
          </w:tcPr>
          <w:p>
            <w:pPr>
              <w:autoSpaceDE w:val="0"/>
              <w:spacing w:line="276" w:lineRule="auto"/>
              <w:jc w:val="center"/>
              <w:rPr>
                <w:rFonts w:asciiTheme="minorEastAsia" w:hAnsiTheme="minorEastAsia" w:cstheme="minorEastAsia"/>
                <w:b/>
                <w:bCs/>
                <w:szCs w:val="21"/>
              </w:rPr>
            </w:pPr>
            <w:r>
              <w:rPr>
                <w:rFonts w:hint="eastAsia" w:asciiTheme="minorEastAsia" w:hAnsiTheme="minorEastAsia" w:cstheme="minorEastAsia"/>
                <w:b/>
                <w:bCs/>
                <w:szCs w:val="21"/>
              </w:rPr>
              <w:t>课内实践</w:t>
            </w:r>
          </w:p>
          <w:p>
            <w:pPr>
              <w:autoSpaceDE w:val="0"/>
              <w:spacing w:line="276" w:lineRule="auto"/>
              <w:jc w:val="center"/>
              <w:rPr>
                <w:rFonts w:asciiTheme="minorEastAsia" w:hAnsiTheme="minorEastAsia" w:cstheme="minorEastAsia"/>
                <w:b/>
                <w:bCs/>
                <w:szCs w:val="21"/>
              </w:rPr>
            </w:pPr>
            <w:r>
              <w:rPr>
                <w:rFonts w:asciiTheme="minorEastAsia" w:hAnsiTheme="minorEastAsia" w:cstheme="minorEastAsia"/>
                <w:b/>
                <w:bCs/>
                <w:szCs w:val="21"/>
              </w:rPr>
              <w:t>2</w:t>
            </w:r>
            <w:r>
              <w:rPr>
                <w:rFonts w:hint="eastAsia" w:asciiTheme="minorEastAsia" w:hAnsiTheme="minorEastAsia" w:cstheme="minorEastAsia"/>
                <w:b/>
                <w:bCs/>
                <w:szCs w:val="21"/>
              </w:rPr>
              <w:t>0%</w:t>
            </w:r>
          </w:p>
        </w:tc>
        <w:tc>
          <w:tcPr>
            <w:tcW w:w="1180" w:type="dxa"/>
            <w:tcBorders>
              <w:top w:val="single" w:color="auto" w:sz="4" w:space="0"/>
              <w:left w:val="single" w:color="auto" w:sz="4" w:space="0"/>
              <w:bottom w:val="single" w:color="auto" w:sz="4" w:space="0"/>
              <w:right w:val="single" w:color="auto" w:sz="4" w:space="0"/>
            </w:tcBorders>
            <w:vAlign w:val="center"/>
          </w:tcPr>
          <w:p>
            <w:pPr>
              <w:autoSpaceDE w:val="0"/>
              <w:spacing w:line="276" w:lineRule="auto"/>
              <w:jc w:val="center"/>
              <w:rPr>
                <w:rFonts w:asciiTheme="minorEastAsia" w:hAnsiTheme="minorEastAsia" w:cstheme="minorEastAsia"/>
                <w:b/>
                <w:bCs/>
                <w:szCs w:val="21"/>
              </w:rPr>
            </w:pPr>
            <w:r>
              <w:rPr>
                <w:rFonts w:hint="eastAsia" w:asciiTheme="minorEastAsia" w:hAnsiTheme="minorEastAsia" w:cstheme="minorEastAsia"/>
                <w:b/>
                <w:bCs/>
                <w:szCs w:val="21"/>
              </w:rPr>
              <w:t>期末考试</w:t>
            </w:r>
          </w:p>
          <w:p>
            <w:pPr>
              <w:autoSpaceDE w:val="0"/>
              <w:spacing w:line="276" w:lineRule="auto"/>
              <w:jc w:val="center"/>
              <w:rPr>
                <w:rFonts w:asciiTheme="minorEastAsia" w:hAnsiTheme="minorEastAsia" w:cstheme="minorEastAsia"/>
                <w:b/>
                <w:bCs/>
                <w:szCs w:val="21"/>
              </w:rPr>
            </w:pPr>
            <w:r>
              <w:rPr>
                <w:rFonts w:hint="eastAsia" w:asciiTheme="minorEastAsia" w:hAnsiTheme="minorEastAsia" w:cstheme="minorEastAsia"/>
                <w:b/>
                <w:bCs/>
                <w:szCs w:val="21"/>
              </w:rPr>
              <w:t>50%</w:t>
            </w:r>
          </w:p>
        </w:tc>
        <w:tc>
          <w:tcPr>
            <w:tcW w:w="1016" w:type="dxa"/>
            <w:vMerge w:val="continue"/>
            <w:tcBorders>
              <w:top w:val="single" w:color="auto" w:sz="4" w:space="0"/>
              <w:left w:val="nil"/>
              <w:bottom w:val="single" w:color="auto" w:sz="4" w:space="0"/>
              <w:right w:val="single" w:color="auto" w:sz="4" w:space="0"/>
            </w:tcBorders>
            <w:vAlign w:val="center"/>
          </w:tcPr>
          <w:p>
            <w:pPr>
              <w:widowControl/>
              <w:spacing w:line="276" w:lineRule="auto"/>
              <w:jc w:val="left"/>
              <w:rPr>
                <w:rFonts w:asciiTheme="minorEastAsia" w:hAnsiTheme="minorEastAsia" w:cstheme="minorEastAsia"/>
                <w:b/>
                <w:bCs/>
                <w:szCs w:val="21"/>
              </w:rPr>
            </w:pPr>
          </w:p>
        </w:tc>
      </w:tr>
      <w:tr>
        <w:tblPrEx>
          <w:tblCellMar>
            <w:top w:w="0" w:type="dxa"/>
            <w:left w:w="57" w:type="dxa"/>
            <w:bottom w:w="0" w:type="dxa"/>
            <w:right w:w="57" w:type="dxa"/>
          </w:tblCellMar>
        </w:tblPrEx>
        <w:trPr>
          <w:trHeight w:val="20" w:hRule="atLeast"/>
          <w:jc w:val="center"/>
        </w:trPr>
        <w:tc>
          <w:tcPr>
            <w:tcW w:w="752" w:type="dxa"/>
            <w:tcBorders>
              <w:top w:val="single" w:color="auto" w:sz="4" w:space="0"/>
              <w:left w:val="single" w:color="auto" w:sz="4" w:space="0"/>
              <w:bottom w:val="single" w:color="auto" w:sz="4" w:space="0"/>
              <w:right w:val="single" w:color="auto" w:sz="4" w:space="0"/>
            </w:tcBorders>
          </w:tcPr>
          <w:p>
            <w:pPr>
              <w:autoSpaceDE w:val="0"/>
              <w:spacing w:beforeLines="10" w:afterLines="10" w:line="276"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1644" w:type="dxa"/>
            <w:tcBorders>
              <w:top w:val="single" w:color="auto" w:sz="4" w:space="0"/>
              <w:left w:val="single" w:color="auto" w:sz="4" w:space="0"/>
              <w:bottom w:val="single" w:color="auto" w:sz="4" w:space="0"/>
              <w:right w:val="single" w:color="auto" w:sz="4" w:space="0"/>
            </w:tcBorders>
            <w:vAlign w:val="center"/>
          </w:tcPr>
          <w:p>
            <w:pPr>
              <w:autoSpaceDE w:val="0"/>
              <w:spacing w:beforeLines="10" w:afterLines="10" w:line="276" w:lineRule="auto"/>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1947" w:type="dxa"/>
            <w:tcBorders>
              <w:top w:val="single" w:color="auto" w:sz="4" w:space="0"/>
              <w:left w:val="nil"/>
              <w:bottom w:val="single" w:color="auto" w:sz="4" w:space="0"/>
              <w:right w:val="single" w:color="auto" w:sz="4" w:space="0"/>
            </w:tcBorders>
            <w:vAlign w:val="center"/>
          </w:tcPr>
          <w:p>
            <w:pPr>
              <w:autoSpaceDE w:val="0"/>
              <w:spacing w:beforeLines="10" w:afterLines="10" w:line="276" w:lineRule="auto"/>
              <w:jc w:val="center"/>
              <w:rPr>
                <w:rFonts w:asciiTheme="minorEastAsia" w:hAnsiTheme="minorEastAsia" w:cstheme="minorEastAsia"/>
                <w:szCs w:val="21"/>
              </w:rPr>
            </w:pPr>
          </w:p>
        </w:tc>
        <w:tc>
          <w:tcPr>
            <w:tcW w:w="1593" w:type="dxa"/>
            <w:tcBorders>
              <w:top w:val="single" w:color="auto" w:sz="4" w:space="0"/>
              <w:left w:val="nil"/>
              <w:bottom w:val="single" w:color="auto" w:sz="4" w:space="0"/>
              <w:right w:val="single" w:color="auto" w:sz="4" w:space="0"/>
            </w:tcBorders>
            <w:vAlign w:val="center"/>
          </w:tcPr>
          <w:p>
            <w:pPr>
              <w:autoSpaceDE w:val="0"/>
              <w:spacing w:beforeLines="10" w:afterLines="10" w:line="276" w:lineRule="auto"/>
              <w:jc w:val="center"/>
              <w:rPr>
                <w:rFonts w:asciiTheme="minorEastAsia" w:hAnsiTheme="minorEastAsia" w:cstheme="minorEastAsia"/>
                <w:szCs w:val="21"/>
              </w:rPr>
            </w:pPr>
          </w:p>
        </w:tc>
        <w:tc>
          <w:tcPr>
            <w:tcW w:w="1180" w:type="dxa"/>
            <w:tcBorders>
              <w:top w:val="single" w:color="auto" w:sz="4" w:space="0"/>
              <w:left w:val="single" w:color="auto" w:sz="4" w:space="0"/>
              <w:bottom w:val="single" w:color="auto" w:sz="4" w:space="0"/>
              <w:right w:val="single" w:color="auto" w:sz="4" w:space="0"/>
            </w:tcBorders>
            <w:vAlign w:val="center"/>
          </w:tcPr>
          <w:p>
            <w:pPr>
              <w:autoSpaceDE w:val="0"/>
              <w:spacing w:beforeLines="10" w:afterLines="10" w:line="27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1016" w:type="dxa"/>
            <w:tcBorders>
              <w:top w:val="single" w:color="auto" w:sz="4" w:space="0"/>
              <w:left w:val="nil"/>
              <w:bottom w:val="single" w:color="auto" w:sz="4" w:space="0"/>
              <w:right w:val="single" w:color="auto" w:sz="4" w:space="0"/>
            </w:tcBorders>
            <w:vAlign w:val="center"/>
          </w:tcPr>
          <w:p>
            <w:pPr>
              <w:autoSpaceDE w:val="0"/>
              <w:spacing w:beforeLines="10" w:afterLines="10" w:line="276" w:lineRule="auto"/>
              <w:jc w:val="center"/>
              <w:rPr>
                <w:rFonts w:asciiTheme="minorEastAsia" w:hAnsiTheme="minorEastAsia" w:cstheme="minorEastAsia"/>
                <w:szCs w:val="21"/>
              </w:rPr>
            </w:pPr>
            <w:r>
              <w:rPr>
                <w:rFonts w:hint="eastAsia" w:asciiTheme="minorEastAsia" w:hAnsiTheme="minorEastAsia" w:cstheme="minorEastAsia"/>
                <w:szCs w:val="21"/>
              </w:rPr>
              <w:t>50</w:t>
            </w:r>
          </w:p>
        </w:tc>
      </w:tr>
      <w:tr>
        <w:tblPrEx>
          <w:tblCellMar>
            <w:top w:w="0" w:type="dxa"/>
            <w:left w:w="57" w:type="dxa"/>
            <w:bottom w:w="0" w:type="dxa"/>
            <w:right w:w="57" w:type="dxa"/>
          </w:tblCellMar>
        </w:tblPrEx>
        <w:trPr>
          <w:trHeight w:val="20" w:hRule="atLeast"/>
          <w:jc w:val="center"/>
        </w:trPr>
        <w:tc>
          <w:tcPr>
            <w:tcW w:w="752" w:type="dxa"/>
            <w:tcBorders>
              <w:top w:val="single" w:color="auto" w:sz="4" w:space="0"/>
              <w:left w:val="single" w:color="auto" w:sz="4" w:space="0"/>
              <w:bottom w:val="single" w:color="auto" w:sz="4" w:space="0"/>
              <w:right w:val="single" w:color="auto" w:sz="4" w:space="0"/>
            </w:tcBorders>
          </w:tcPr>
          <w:p>
            <w:pPr>
              <w:autoSpaceDE w:val="0"/>
              <w:spacing w:beforeLines="10" w:afterLines="10" w:line="276"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1644" w:type="dxa"/>
            <w:tcBorders>
              <w:top w:val="single" w:color="auto" w:sz="4" w:space="0"/>
              <w:left w:val="single" w:color="auto" w:sz="4" w:space="0"/>
              <w:bottom w:val="single" w:color="auto" w:sz="4" w:space="0"/>
              <w:right w:val="single" w:color="auto" w:sz="4" w:space="0"/>
            </w:tcBorders>
            <w:vAlign w:val="center"/>
          </w:tcPr>
          <w:p>
            <w:pPr>
              <w:autoSpaceDE w:val="0"/>
              <w:spacing w:beforeLines="10" w:afterLines="10" w:line="276" w:lineRule="auto"/>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1947" w:type="dxa"/>
            <w:tcBorders>
              <w:top w:val="single" w:color="auto" w:sz="4" w:space="0"/>
              <w:left w:val="nil"/>
              <w:bottom w:val="single" w:color="auto" w:sz="4" w:space="0"/>
              <w:right w:val="single" w:color="auto" w:sz="4" w:space="0"/>
            </w:tcBorders>
            <w:vAlign w:val="center"/>
          </w:tcPr>
          <w:p>
            <w:pPr>
              <w:autoSpaceDE w:val="0"/>
              <w:spacing w:beforeLines="10" w:afterLines="10" w:line="276" w:lineRule="auto"/>
              <w:jc w:val="center"/>
              <w:rPr>
                <w:rFonts w:asciiTheme="minorEastAsia" w:hAnsiTheme="minorEastAsia" w:cstheme="minorEastAsia"/>
                <w:szCs w:val="21"/>
              </w:rPr>
            </w:pPr>
            <w:r>
              <w:rPr>
                <w:rFonts w:hint="eastAsia" w:asciiTheme="minorEastAsia" w:hAnsiTheme="minorEastAsia" w:cstheme="minorEastAsia"/>
                <w:szCs w:val="21"/>
              </w:rPr>
              <w:t>30</w:t>
            </w:r>
          </w:p>
        </w:tc>
        <w:tc>
          <w:tcPr>
            <w:tcW w:w="1593" w:type="dxa"/>
            <w:tcBorders>
              <w:top w:val="single" w:color="auto" w:sz="4" w:space="0"/>
              <w:left w:val="nil"/>
              <w:bottom w:val="single" w:color="auto" w:sz="4" w:space="0"/>
              <w:right w:val="single" w:color="auto" w:sz="4" w:space="0"/>
            </w:tcBorders>
            <w:vAlign w:val="center"/>
          </w:tcPr>
          <w:p>
            <w:pPr>
              <w:autoSpaceDE w:val="0"/>
              <w:spacing w:beforeLines="10" w:afterLines="10" w:line="276" w:lineRule="auto"/>
              <w:jc w:val="center"/>
              <w:rPr>
                <w:rFonts w:asciiTheme="minorEastAsia" w:hAnsiTheme="minorEastAsia" w:cstheme="minorEastAsia"/>
                <w:szCs w:val="21"/>
              </w:rPr>
            </w:pPr>
          </w:p>
        </w:tc>
        <w:tc>
          <w:tcPr>
            <w:tcW w:w="1180" w:type="dxa"/>
            <w:tcBorders>
              <w:top w:val="single" w:color="auto" w:sz="4" w:space="0"/>
              <w:left w:val="single" w:color="auto" w:sz="4" w:space="0"/>
              <w:bottom w:val="single" w:color="auto" w:sz="4" w:space="0"/>
              <w:right w:val="single" w:color="auto" w:sz="4" w:space="0"/>
            </w:tcBorders>
            <w:vAlign w:val="center"/>
          </w:tcPr>
          <w:p>
            <w:pPr>
              <w:autoSpaceDE w:val="0"/>
              <w:spacing w:beforeLines="10" w:afterLines="10" w:line="276" w:lineRule="auto"/>
              <w:jc w:val="center"/>
              <w:rPr>
                <w:rFonts w:asciiTheme="minorEastAsia" w:hAnsiTheme="minorEastAsia" w:cstheme="minorEastAsia"/>
                <w:szCs w:val="21"/>
              </w:rPr>
            </w:pPr>
          </w:p>
        </w:tc>
        <w:tc>
          <w:tcPr>
            <w:tcW w:w="1016" w:type="dxa"/>
            <w:tcBorders>
              <w:top w:val="single" w:color="auto" w:sz="4" w:space="0"/>
              <w:left w:val="nil"/>
              <w:bottom w:val="single" w:color="auto" w:sz="4" w:space="0"/>
              <w:right w:val="single" w:color="auto" w:sz="4" w:space="0"/>
            </w:tcBorders>
            <w:vAlign w:val="center"/>
          </w:tcPr>
          <w:p>
            <w:pPr>
              <w:autoSpaceDE w:val="0"/>
              <w:spacing w:beforeLines="10" w:afterLines="10" w:line="276" w:lineRule="auto"/>
              <w:jc w:val="center"/>
              <w:rPr>
                <w:rFonts w:asciiTheme="minorEastAsia" w:hAnsiTheme="minorEastAsia" w:cstheme="minorEastAsia"/>
                <w:szCs w:val="21"/>
              </w:rPr>
            </w:pPr>
            <w:r>
              <w:rPr>
                <w:rFonts w:hint="eastAsia" w:asciiTheme="minorEastAsia" w:hAnsiTheme="minorEastAsia" w:cstheme="minorEastAsia"/>
                <w:szCs w:val="21"/>
              </w:rPr>
              <w:t>30</w:t>
            </w:r>
          </w:p>
        </w:tc>
      </w:tr>
      <w:tr>
        <w:tblPrEx>
          <w:tblCellMar>
            <w:top w:w="0" w:type="dxa"/>
            <w:left w:w="57" w:type="dxa"/>
            <w:bottom w:w="0" w:type="dxa"/>
            <w:right w:w="57" w:type="dxa"/>
          </w:tblCellMar>
        </w:tblPrEx>
        <w:trPr>
          <w:trHeight w:val="20" w:hRule="atLeast"/>
          <w:jc w:val="center"/>
        </w:trPr>
        <w:tc>
          <w:tcPr>
            <w:tcW w:w="752" w:type="dxa"/>
            <w:tcBorders>
              <w:top w:val="single" w:color="auto" w:sz="4" w:space="0"/>
              <w:left w:val="single" w:color="auto" w:sz="4" w:space="0"/>
              <w:bottom w:val="single" w:color="auto" w:sz="4" w:space="0"/>
              <w:right w:val="single" w:color="auto" w:sz="4" w:space="0"/>
            </w:tcBorders>
          </w:tcPr>
          <w:p>
            <w:pPr>
              <w:autoSpaceDE w:val="0"/>
              <w:spacing w:beforeLines="10" w:afterLines="10" w:line="276"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1644" w:type="dxa"/>
            <w:tcBorders>
              <w:top w:val="single" w:color="auto" w:sz="4" w:space="0"/>
              <w:left w:val="single" w:color="auto" w:sz="4" w:space="0"/>
              <w:bottom w:val="single" w:color="auto" w:sz="4" w:space="0"/>
              <w:right w:val="single" w:color="auto" w:sz="4" w:space="0"/>
            </w:tcBorders>
            <w:vAlign w:val="center"/>
          </w:tcPr>
          <w:p>
            <w:pPr>
              <w:autoSpaceDE w:val="0"/>
              <w:spacing w:beforeLines="10" w:afterLines="10" w:line="276" w:lineRule="auto"/>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1947" w:type="dxa"/>
            <w:tcBorders>
              <w:top w:val="single" w:color="auto" w:sz="4" w:space="0"/>
              <w:left w:val="nil"/>
              <w:bottom w:val="single" w:color="auto" w:sz="4" w:space="0"/>
              <w:right w:val="single" w:color="auto" w:sz="4" w:space="0"/>
            </w:tcBorders>
            <w:vAlign w:val="center"/>
          </w:tcPr>
          <w:p>
            <w:pPr>
              <w:autoSpaceDE w:val="0"/>
              <w:spacing w:beforeLines="10" w:afterLines="10" w:line="276" w:lineRule="auto"/>
              <w:jc w:val="center"/>
              <w:rPr>
                <w:rFonts w:asciiTheme="minorEastAsia" w:hAnsiTheme="minorEastAsia" w:cstheme="minorEastAsia"/>
                <w:szCs w:val="21"/>
              </w:rPr>
            </w:pPr>
          </w:p>
        </w:tc>
        <w:tc>
          <w:tcPr>
            <w:tcW w:w="1593" w:type="dxa"/>
            <w:tcBorders>
              <w:top w:val="single" w:color="auto" w:sz="4" w:space="0"/>
              <w:left w:val="nil"/>
              <w:bottom w:val="single" w:color="auto" w:sz="4" w:space="0"/>
              <w:right w:val="single" w:color="auto" w:sz="4" w:space="0"/>
            </w:tcBorders>
            <w:vAlign w:val="center"/>
          </w:tcPr>
          <w:p>
            <w:pPr>
              <w:autoSpaceDE w:val="0"/>
              <w:spacing w:beforeLines="10" w:afterLines="10" w:line="276" w:lineRule="auto"/>
              <w:jc w:val="center"/>
              <w:rPr>
                <w:rFonts w:asciiTheme="minorEastAsia" w:hAnsiTheme="minorEastAsia" w:cstheme="minorEastAsia"/>
                <w:szCs w:val="21"/>
              </w:rPr>
            </w:pPr>
            <w:r>
              <w:rPr>
                <w:rFonts w:hint="eastAsia" w:asciiTheme="minorEastAsia" w:hAnsiTheme="minorEastAsia" w:cstheme="minorEastAsia"/>
                <w:szCs w:val="21"/>
              </w:rPr>
              <w:t>20</w:t>
            </w:r>
          </w:p>
        </w:tc>
        <w:tc>
          <w:tcPr>
            <w:tcW w:w="1180" w:type="dxa"/>
            <w:tcBorders>
              <w:top w:val="single" w:color="auto" w:sz="4" w:space="0"/>
              <w:left w:val="single" w:color="auto" w:sz="4" w:space="0"/>
              <w:bottom w:val="single" w:color="auto" w:sz="4" w:space="0"/>
              <w:right w:val="single" w:color="auto" w:sz="4" w:space="0"/>
            </w:tcBorders>
            <w:vAlign w:val="center"/>
          </w:tcPr>
          <w:p>
            <w:pPr>
              <w:autoSpaceDE w:val="0"/>
              <w:spacing w:beforeLines="10" w:afterLines="10" w:line="276" w:lineRule="auto"/>
              <w:jc w:val="center"/>
              <w:rPr>
                <w:rFonts w:asciiTheme="minorEastAsia" w:hAnsiTheme="minorEastAsia" w:cstheme="minorEastAsia"/>
                <w:szCs w:val="21"/>
              </w:rPr>
            </w:pPr>
          </w:p>
        </w:tc>
        <w:tc>
          <w:tcPr>
            <w:tcW w:w="1016" w:type="dxa"/>
            <w:tcBorders>
              <w:top w:val="single" w:color="auto" w:sz="4" w:space="0"/>
              <w:left w:val="nil"/>
              <w:bottom w:val="single" w:color="auto" w:sz="4" w:space="0"/>
              <w:right w:val="single" w:color="auto" w:sz="4" w:space="0"/>
            </w:tcBorders>
            <w:vAlign w:val="center"/>
          </w:tcPr>
          <w:p>
            <w:pPr>
              <w:autoSpaceDE w:val="0"/>
              <w:spacing w:beforeLines="10" w:afterLines="10" w:line="276" w:lineRule="auto"/>
              <w:jc w:val="center"/>
              <w:rPr>
                <w:rFonts w:asciiTheme="minorEastAsia" w:hAnsiTheme="minorEastAsia" w:cstheme="minorEastAsia"/>
                <w:szCs w:val="21"/>
              </w:rPr>
            </w:pPr>
            <w:r>
              <w:rPr>
                <w:rFonts w:hint="eastAsia" w:asciiTheme="minorEastAsia" w:hAnsiTheme="minorEastAsia" w:cstheme="minorEastAsia"/>
                <w:szCs w:val="21"/>
              </w:rPr>
              <w:t>20</w:t>
            </w:r>
          </w:p>
        </w:tc>
      </w:tr>
      <w:tr>
        <w:tblPrEx>
          <w:tblCellMar>
            <w:top w:w="0" w:type="dxa"/>
            <w:left w:w="57" w:type="dxa"/>
            <w:bottom w:w="0" w:type="dxa"/>
            <w:right w:w="57" w:type="dxa"/>
          </w:tblCellMar>
        </w:tblPrEx>
        <w:trPr>
          <w:trHeight w:val="20" w:hRule="atLeast"/>
          <w:jc w:val="center"/>
        </w:trPr>
        <w:tc>
          <w:tcPr>
            <w:tcW w:w="2396" w:type="dxa"/>
            <w:gridSpan w:val="2"/>
            <w:tcBorders>
              <w:top w:val="single" w:color="auto" w:sz="4" w:space="0"/>
              <w:left w:val="single" w:color="auto" w:sz="4" w:space="0"/>
              <w:bottom w:val="single" w:color="auto" w:sz="4" w:space="0"/>
              <w:right w:val="single" w:color="auto" w:sz="4" w:space="0"/>
            </w:tcBorders>
          </w:tcPr>
          <w:p>
            <w:pPr>
              <w:autoSpaceDE w:val="0"/>
              <w:spacing w:beforeLines="10" w:afterLines="10" w:line="276"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1947" w:type="dxa"/>
            <w:tcBorders>
              <w:top w:val="single" w:color="auto" w:sz="4" w:space="0"/>
              <w:left w:val="nil"/>
              <w:bottom w:val="single" w:color="auto" w:sz="4" w:space="0"/>
              <w:right w:val="single" w:color="auto" w:sz="4" w:space="0"/>
            </w:tcBorders>
            <w:vAlign w:val="center"/>
          </w:tcPr>
          <w:p>
            <w:pPr>
              <w:autoSpaceDE w:val="0"/>
              <w:spacing w:beforeLines="10" w:afterLines="10" w:line="276" w:lineRule="auto"/>
              <w:jc w:val="center"/>
              <w:rPr>
                <w:rFonts w:asciiTheme="minorEastAsia" w:hAnsiTheme="minorEastAsia" w:cstheme="minorEastAsia"/>
                <w:szCs w:val="21"/>
              </w:rPr>
            </w:pPr>
            <w:r>
              <w:rPr>
                <w:rFonts w:hint="eastAsia" w:asciiTheme="minorEastAsia" w:hAnsiTheme="minorEastAsia" w:cstheme="minorEastAsia"/>
                <w:szCs w:val="21"/>
              </w:rPr>
              <w:t>30</w:t>
            </w:r>
          </w:p>
        </w:tc>
        <w:tc>
          <w:tcPr>
            <w:tcW w:w="1593" w:type="dxa"/>
            <w:tcBorders>
              <w:top w:val="single" w:color="auto" w:sz="4" w:space="0"/>
              <w:left w:val="nil"/>
              <w:bottom w:val="single" w:color="auto" w:sz="4" w:space="0"/>
              <w:right w:val="single" w:color="auto" w:sz="4" w:space="0"/>
            </w:tcBorders>
            <w:vAlign w:val="center"/>
          </w:tcPr>
          <w:p>
            <w:pPr>
              <w:autoSpaceDE w:val="0"/>
              <w:spacing w:beforeLines="10" w:afterLines="10" w:line="276" w:lineRule="auto"/>
              <w:jc w:val="center"/>
              <w:rPr>
                <w:rFonts w:asciiTheme="minorEastAsia" w:hAnsiTheme="minorEastAsia" w:cstheme="minorEastAsia"/>
                <w:szCs w:val="21"/>
              </w:rPr>
            </w:pPr>
            <w:r>
              <w:rPr>
                <w:rFonts w:hint="eastAsia" w:asciiTheme="minorEastAsia" w:hAnsiTheme="minorEastAsia" w:cstheme="minorEastAsia"/>
                <w:szCs w:val="21"/>
              </w:rPr>
              <w:t>20</w:t>
            </w:r>
          </w:p>
        </w:tc>
        <w:tc>
          <w:tcPr>
            <w:tcW w:w="1180" w:type="dxa"/>
            <w:tcBorders>
              <w:top w:val="single" w:color="auto" w:sz="4" w:space="0"/>
              <w:left w:val="single" w:color="auto" w:sz="4" w:space="0"/>
              <w:bottom w:val="single" w:color="auto" w:sz="4" w:space="0"/>
              <w:right w:val="single" w:color="auto" w:sz="4" w:space="0"/>
            </w:tcBorders>
            <w:vAlign w:val="center"/>
          </w:tcPr>
          <w:p>
            <w:pPr>
              <w:autoSpaceDE w:val="0"/>
              <w:spacing w:beforeLines="10" w:afterLines="10" w:line="27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1016" w:type="dxa"/>
            <w:tcBorders>
              <w:top w:val="single" w:color="auto" w:sz="4" w:space="0"/>
              <w:left w:val="nil"/>
              <w:bottom w:val="single" w:color="auto" w:sz="4" w:space="0"/>
              <w:right w:val="single" w:color="auto" w:sz="4" w:space="0"/>
            </w:tcBorders>
            <w:vAlign w:val="center"/>
          </w:tcPr>
          <w:p>
            <w:pPr>
              <w:autoSpaceDE w:val="0"/>
              <w:spacing w:beforeLines="10" w:afterLines="10" w:line="276" w:lineRule="auto"/>
              <w:jc w:val="center"/>
              <w:rPr>
                <w:rFonts w:asciiTheme="minorEastAsia" w:hAnsiTheme="minorEastAsia" w:cstheme="minorEastAsia"/>
                <w:szCs w:val="21"/>
              </w:rPr>
            </w:pPr>
            <w:r>
              <w:rPr>
                <w:rFonts w:hint="eastAsia" w:asciiTheme="minorEastAsia" w:hAnsiTheme="minorEastAsia" w:cstheme="minorEastAsia"/>
                <w:szCs w:val="21"/>
              </w:rPr>
              <w:t>100</w:t>
            </w:r>
          </w:p>
        </w:tc>
      </w:tr>
    </w:tbl>
    <w:p>
      <w:pPr>
        <w:pStyle w:val="18"/>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各考核环节按照附件中的评分标准进行成绩评定。</w:t>
      </w:r>
    </w:p>
    <w:p>
      <w:pPr>
        <w:pStyle w:val="18"/>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七、课程参考书目及资源</w:t>
      </w:r>
    </w:p>
    <w:p>
      <w:pPr>
        <w:adjustRightInd w:val="0"/>
        <w:snapToGrid w:val="0"/>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1.《习近平谈治国理政》第一卷，外文出版社2018年版。</w:t>
      </w:r>
    </w:p>
    <w:p>
      <w:pPr>
        <w:adjustRightInd w:val="0"/>
        <w:snapToGrid w:val="0"/>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2.《习近平谈治国理政》第二卷，外文出版社2017年版。</w:t>
      </w:r>
    </w:p>
    <w:p>
      <w:pPr>
        <w:adjustRightInd w:val="0"/>
        <w:snapToGrid w:val="0"/>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3.《习近平谈治国理政》第三卷，外文出版社2020年版。</w:t>
      </w:r>
    </w:p>
    <w:p>
      <w:pPr>
        <w:adjustRightInd w:val="0"/>
        <w:snapToGrid w:val="0"/>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4.《习近平谈治国理政》第四卷，外文出版社2022年版。</w:t>
      </w:r>
    </w:p>
    <w:p>
      <w:pPr>
        <w:adjustRightInd w:val="0"/>
        <w:snapToGrid w:val="0"/>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5. 习近平.高举中国特色社会主义伟大旗帜 为全面建设社会主义现代化国家而团结奋斗——在中国共产党第二十次全国代表大会上的报告[M].北京：人民出版社，</w:t>
      </w:r>
    </w:p>
    <w:p>
      <w:pPr>
        <w:adjustRightInd w:val="0"/>
        <w:snapToGrid w:val="0"/>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6.</w:t>
      </w:r>
      <w:r>
        <w:rPr>
          <w:rFonts w:hint="eastAsia" w:ascii="宋体" w:hAnsi="宋体" w:cs="宋体"/>
          <w:kern w:val="0"/>
          <w:sz w:val="24"/>
          <w:szCs w:val="22"/>
        </w:rPr>
        <w:t>《中国共产党第二十次全国代表大会》开幕式</w:t>
      </w:r>
    </w:p>
    <w:p>
      <w:pPr>
        <w:adjustRightInd w:val="0"/>
        <w:snapToGrid w:val="0"/>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7.</w:t>
      </w:r>
      <w:r>
        <w:rPr>
          <w:rFonts w:hint="eastAsia" w:asciiTheme="minorEastAsia" w:hAnsiTheme="minorEastAsia" w:cstheme="minorEastAsia"/>
          <w:sz w:val="24"/>
          <w:lang w:val="zh-TW" w:eastAsia="zh-TW"/>
        </w:rPr>
        <w:t>中央电视台：《辉煌中国》纪录片</w:t>
      </w:r>
    </w:p>
    <w:p>
      <w:pPr>
        <w:adjustRightInd w:val="0"/>
        <w:snapToGrid w:val="0"/>
        <w:spacing w:line="420" w:lineRule="exact"/>
        <w:ind w:firstLine="480" w:firstLineChars="200"/>
        <w:rPr>
          <w:rFonts w:asciiTheme="minorEastAsia" w:hAnsiTheme="minorEastAsia" w:cstheme="minorEastAsia"/>
          <w:sz w:val="24"/>
          <w:lang w:val="zh-TW" w:eastAsia="zh-TW"/>
        </w:rPr>
      </w:pPr>
      <w:r>
        <w:rPr>
          <w:rFonts w:hint="eastAsia" w:asciiTheme="minorEastAsia" w:hAnsiTheme="minorEastAsia" w:cstheme="minorEastAsia"/>
          <w:sz w:val="24"/>
        </w:rPr>
        <w:t>8.</w:t>
      </w:r>
      <w:r>
        <w:rPr>
          <w:rFonts w:hint="eastAsia" w:asciiTheme="minorEastAsia" w:hAnsiTheme="minorEastAsia" w:cstheme="minorEastAsia"/>
          <w:sz w:val="24"/>
          <w:lang w:val="zh-TW" w:eastAsia="zh-TW"/>
        </w:rPr>
        <w:t>中央电视台：《大国外交》纪录片</w:t>
      </w:r>
    </w:p>
    <w:p>
      <w:pPr>
        <w:spacing w:line="300" w:lineRule="auto"/>
        <w:jc w:val="left"/>
        <w:rPr>
          <w:rFonts w:hint="eastAsia" w:asciiTheme="minorEastAsia" w:hAnsiTheme="minorEastAsia" w:cstheme="minorEastAsia"/>
          <w:b/>
          <w:bCs/>
          <w:sz w:val="28"/>
          <w:szCs w:val="28"/>
        </w:rPr>
      </w:pPr>
    </w:p>
    <w:p>
      <w:pPr>
        <w:spacing w:line="300" w:lineRule="auto"/>
        <w:jc w:val="left"/>
        <w:rPr>
          <w:rFonts w:hint="eastAsia" w:asciiTheme="minorEastAsia" w:hAnsiTheme="minorEastAsia" w:cstheme="minorEastAsia"/>
          <w:b/>
          <w:bCs/>
          <w:sz w:val="28"/>
          <w:szCs w:val="28"/>
        </w:rPr>
      </w:pPr>
    </w:p>
    <w:p>
      <w:pPr>
        <w:spacing w:line="300" w:lineRule="auto"/>
        <w:jc w:val="left"/>
        <w:rPr>
          <w:rFonts w:hint="eastAsia" w:asciiTheme="minorEastAsia" w:hAnsiTheme="minorEastAsia" w:cstheme="minorEastAsia"/>
          <w:b/>
          <w:bCs/>
          <w:sz w:val="28"/>
          <w:szCs w:val="28"/>
        </w:rPr>
      </w:pPr>
    </w:p>
    <w:p>
      <w:pPr>
        <w:spacing w:line="300" w:lineRule="auto"/>
        <w:jc w:val="left"/>
        <w:rPr>
          <w:rFonts w:hint="eastAsia" w:asciiTheme="minorEastAsia" w:hAnsiTheme="minorEastAsia" w:cstheme="minorEastAsia"/>
          <w:b/>
          <w:bCs/>
          <w:sz w:val="28"/>
          <w:szCs w:val="28"/>
        </w:rPr>
      </w:pPr>
    </w:p>
    <w:p>
      <w:pPr>
        <w:spacing w:line="300" w:lineRule="auto"/>
        <w:jc w:val="left"/>
        <w:rPr>
          <w:rFonts w:hint="eastAsia" w:asciiTheme="minorEastAsia" w:hAnsiTheme="minorEastAsia" w:cstheme="minorEastAsia"/>
          <w:b/>
          <w:bCs/>
          <w:sz w:val="28"/>
          <w:szCs w:val="28"/>
        </w:rPr>
      </w:pPr>
    </w:p>
    <w:p>
      <w:pPr>
        <w:spacing w:line="300" w:lineRule="auto"/>
        <w:jc w:val="left"/>
        <w:rPr>
          <w:rFonts w:hint="eastAsia" w:asciiTheme="minorEastAsia" w:hAnsiTheme="minorEastAsia" w:cstheme="minorEastAsia"/>
          <w:b/>
          <w:bCs/>
          <w:sz w:val="28"/>
          <w:szCs w:val="28"/>
        </w:rPr>
      </w:pPr>
    </w:p>
    <w:p>
      <w:pPr>
        <w:spacing w:line="300" w:lineRule="auto"/>
        <w:jc w:val="left"/>
        <w:rPr>
          <w:rFonts w:hint="eastAsia" w:asciiTheme="minorEastAsia" w:hAnsiTheme="minorEastAsia" w:cstheme="minorEastAsia"/>
          <w:b/>
          <w:bCs/>
          <w:sz w:val="28"/>
          <w:szCs w:val="28"/>
        </w:rPr>
      </w:pPr>
    </w:p>
    <w:p>
      <w:pPr>
        <w:spacing w:line="300" w:lineRule="auto"/>
        <w:jc w:val="left"/>
        <w:rPr>
          <w:rFonts w:hint="eastAsia" w:asciiTheme="minorEastAsia" w:hAnsiTheme="minorEastAsia" w:cstheme="minorEastAsia"/>
          <w:b/>
          <w:bCs/>
          <w:sz w:val="28"/>
          <w:szCs w:val="28"/>
        </w:rPr>
      </w:pPr>
    </w:p>
    <w:p>
      <w:pPr>
        <w:spacing w:line="300" w:lineRule="auto"/>
        <w:jc w:val="left"/>
        <w:rPr>
          <w:rFonts w:hint="eastAsia" w:asciiTheme="minorEastAsia" w:hAnsiTheme="minorEastAsia" w:cstheme="minorEastAsia"/>
          <w:b/>
          <w:bCs/>
          <w:sz w:val="28"/>
          <w:szCs w:val="28"/>
        </w:rPr>
      </w:pPr>
    </w:p>
    <w:p>
      <w:pPr>
        <w:spacing w:line="300" w:lineRule="auto"/>
        <w:jc w:val="left"/>
        <w:rPr>
          <w:rFonts w:hint="eastAsia" w:asciiTheme="minorEastAsia" w:hAnsiTheme="minorEastAsia" w:cstheme="minorEastAsia"/>
          <w:b/>
          <w:bCs/>
          <w:sz w:val="28"/>
          <w:szCs w:val="28"/>
        </w:rPr>
      </w:pPr>
    </w:p>
    <w:p>
      <w:pPr>
        <w:spacing w:line="300" w:lineRule="auto"/>
        <w:jc w:val="left"/>
        <w:rPr>
          <w:rFonts w:hint="eastAsia" w:asciiTheme="minorEastAsia" w:hAnsiTheme="minorEastAsia" w:cstheme="minorEastAsia"/>
          <w:b/>
          <w:bCs/>
          <w:sz w:val="28"/>
          <w:szCs w:val="28"/>
        </w:rPr>
      </w:pPr>
    </w:p>
    <w:p>
      <w:pPr>
        <w:spacing w:line="300" w:lineRule="auto"/>
        <w:jc w:val="left"/>
        <w:rPr>
          <w:rFonts w:hint="eastAsia" w:asciiTheme="minorEastAsia" w:hAnsiTheme="minorEastAsia" w:cstheme="minorEastAsia"/>
          <w:b/>
          <w:bCs/>
          <w:sz w:val="28"/>
          <w:szCs w:val="28"/>
        </w:rPr>
      </w:pPr>
    </w:p>
    <w:p>
      <w:pPr>
        <w:spacing w:line="300" w:lineRule="auto"/>
        <w:jc w:val="left"/>
        <w:rPr>
          <w:rFonts w:hint="eastAsia" w:asciiTheme="minorEastAsia" w:hAnsiTheme="minorEastAsia" w:cstheme="minorEastAsia"/>
          <w:b/>
          <w:bCs/>
          <w:sz w:val="28"/>
          <w:szCs w:val="28"/>
        </w:rPr>
      </w:pPr>
    </w:p>
    <w:p>
      <w:pPr>
        <w:spacing w:line="300" w:lineRule="auto"/>
        <w:jc w:val="left"/>
        <w:rPr>
          <w:rFonts w:hint="eastAsia" w:asciiTheme="minorEastAsia" w:hAnsiTheme="minorEastAsia" w:cstheme="minorEastAsia"/>
          <w:b/>
          <w:bCs/>
          <w:sz w:val="28"/>
          <w:szCs w:val="28"/>
        </w:rPr>
      </w:pPr>
    </w:p>
    <w:p>
      <w:pPr>
        <w:spacing w:line="300" w:lineRule="auto"/>
        <w:jc w:val="left"/>
        <w:rPr>
          <w:rFonts w:hint="eastAsia" w:asciiTheme="minorEastAsia" w:hAnsiTheme="minorEastAsia" w:cstheme="minorEastAsia"/>
          <w:b/>
          <w:bCs/>
          <w:sz w:val="28"/>
          <w:szCs w:val="28"/>
        </w:rPr>
      </w:pPr>
    </w:p>
    <w:p>
      <w:pPr>
        <w:spacing w:line="300" w:lineRule="auto"/>
        <w:jc w:val="left"/>
        <w:rPr>
          <w:rFonts w:hint="eastAsia" w:asciiTheme="minorEastAsia" w:hAnsiTheme="minorEastAsia" w:cstheme="minorEastAsia"/>
          <w:b/>
          <w:bCs/>
          <w:sz w:val="28"/>
          <w:szCs w:val="28"/>
        </w:rPr>
      </w:pPr>
    </w:p>
    <w:p>
      <w:pPr>
        <w:spacing w:line="300" w:lineRule="auto"/>
        <w:jc w:val="left"/>
        <w:rPr>
          <w:rFonts w:hint="eastAsia" w:asciiTheme="minorEastAsia" w:hAnsiTheme="minorEastAsia" w:cstheme="minorEastAsia"/>
          <w:b/>
          <w:bCs/>
          <w:sz w:val="28"/>
          <w:szCs w:val="28"/>
        </w:rPr>
      </w:pPr>
    </w:p>
    <w:p>
      <w:pPr>
        <w:spacing w:line="300" w:lineRule="auto"/>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附件：评分标准</w:t>
      </w:r>
    </w:p>
    <w:p>
      <w:pPr>
        <w:spacing w:line="30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过程性考核评分标准</w:t>
      </w:r>
    </w:p>
    <w:tbl>
      <w:tblPr>
        <w:tblStyle w:val="11"/>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560"/>
        <w:gridCol w:w="1417"/>
        <w:gridCol w:w="1559"/>
        <w:gridCol w:w="156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pStyle w:val="20"/>
              <w:rPr>
                <w:rFonts w:asciiTheme="minorEastAsia" w:hAnsiTheme="minorEastAsia" w:cstheme="minorEastAsia"/>
                <w:kern w:val="2"/>
                <w:sz w:val="21"/>
                <w:szCs w:val="21"/>
              </w:rPr>
            </w:pPr>
            <w:r>
              <w:rPr>
                <w:rFonts w:hint="eastAsia" w:asciiTheme="minorEastAsia" w:hAnsiTheme="minorEastAsia" w:cstheme="minorEastAsia"/>
                <w:kern w:val="2"/>
                <w:sz w:val="21"/>
                <w:szCs w:val="21"/>
              </w:rPr>
              <w:t>考核环节</w:t>
            </w:r>
          </w:p>
        </w:tc>
        <w:tc>
          <w:tcPr>
            <w:tcW w:w="1560" w:type="dxa"/>
            <w:vAlign w:val="center"/>
          </w:tcPr>
          <w:p>
            <w:pPr>
              <w:spacing w:line="240" w:lineRule="exact"/>
              <w:rPr>
                <w:rFonts w:asciiTheme="minorEastAsia" w:hAnsiTheme="minorEastAsia" w:cstheme="minorEastAsia"/>
                <w:b/>
                <w:bCs/>
                <w:szCs w:val="21"/>
              </w:rPr>
            </w:pPr>
            <w:r>
              <w:rPr>
                <w:rFonts w:hint="eastAsia" w:asciiTheme="minorEastAsia" w:hAnsiTheme="minorEastAsia" w:cstheme="minorEastAsia"/>
                <w:b/>
                <w:bCs/>
                <w:szCs w:val="21"/>
              </w:rPr>
              <w:t>优（90～100）</w:t>
            </w:r>
          </w:p>
        </w:tc>
        <w:tc>
          <w:tcPr>
            <w:tcW w:w="1417" w:type="dxa"/>
            <w:vAlign w:val="center"/>
          </w:tcPr>
          <w:p>
            <w:pPr>
              <w:spacing w:line="240" w:lineRule="exact"/>
              <w:rPr>
                <w:rFonts w:asciiTheme="minorEastAsia" w:hAnsiTheme="minorEastAsia" w:cstheme="minorEastAsia"/>
                <w:b/>
                <w:bCs/>
                <w:szCs w:val="21"/>
              </w:rPr>
            </w:pPr>
            <w:r>
              <w:rPr>
                <w:rFonts w:hint="eastAsia" w:asciiTheme="minorEastAsia" w:hAnsiTheme="minorEastAsia" w:cstheme="minorEastAsia"/>
                <w:b/>
                <w:bCs/>
                <w:szCs w:val="21"/>
              </w:rPr>
              <w:t>良（80～89）</w:t>
            </w:r>
          </w:p>
        </w:tc>
        <w:tc>
          <w:tcPr>
            <w:tcW w:w="1559" w:type="dxa"/>
            <w:vAlign w:val="center"/>
          </w:tcPr>
          <w:p>
            <w:pPr>
              <w:spacing w:line="240" w:lineRule="exact"/>
              <w:rPr>
                <w:rFonts w:asciiTheme="minorEastAsia" w:hAnsiTheme="minorEastAsia" w:cstheme="minorEastAsia"/>
                <w:b/>
                <w:bCs/>
                <w:szCs w:val="21"/>
              </w:rPr>
            </w:pPr>
            <w:r>
              <w:rPr>
                <w:rFonts w:hint="eastAsia" w:asciiTheme="minorEastAsia" w:hAnsiTheme="minorEastAsia" w:cstheme="minorEastAsia"/>
                <w:b/>
                <w:bCs/>
                <w:szCs w:val="21"/>
              </w:rPr>
              <w:t>中等（70～79）</w:t>
            </w:r>
          </w:p>
        </w:tc>
        <w:tc>
          <w:tcPr>
            <w:tcW w:w="1560" w:type="dxa"/>
            <w:vAlign w:val="center"/>
          </w:tcPr>
          <w:p>
            <w:pPr>
              <w:spacing w:line="240" w:lineRule="exact"/>
              <w:rPr>
                <w:rFonts w:asciiTheme="minorEastAsia" w:hAnsiTheme="minorEastAsia" w:cstheme="minorEastAsia"/>
                <w:b/>
                <w:bCs/>
                <w:szCs w:val="21"/>
              </w:rPr>
            </w:pPr>
            <w:r>
              <w:rPr>
                <w:rFonts w:hint="eastAsia" w:asciiTheme="minorEastAsia" w:hAnsiTheme="minorEastAsia" w:cstheme="minorEastAsia"/>
                <w:b/>
                <w:bCs/>
                <w:szCs w:val="21"/>
              </w:rPr>
              <w:t>及格（60～69）</w:t>
            </w:r>
          </w:p>
        </w:tc>
        <w:tc>
          <w:tcPr>
            <w:tcW w:w="1701" w:type="dxa"/>
            <w:vAlign w:val="center"/>
          </w:tcPr>
          <w:p>
            <w:pPr>
              <w:spacing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不及格（&lt;60）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pStyle w:val="21"/>
              <w:spacing w:line="240" w:lineRule="auto"/>
              <w:jc w:val="center"/>
              <w:rPr>
                <w:rFonts w:asciiTheme="minorEastAsia" w:hAnsiTheme="minorEastAsia" w:cstheme="minorEastAsia"/>
              </w:rPr>
            </w:pPr>
            <w:r>
              <w:rPr>
                <w:rFonts w:hint="eastAsia" w:asciiTheme="minorEastAsia" w:hAnsiTheme="minorEastAsia" w:cstheme="minorEastAsia"/>
                <w:color w:val="000000"/>
              </w:rPr>
              <w:t>平时作业方式</w:t>
            </w:r>
          </w:p>
        </w:tc>
        <w:tc>
          <w:tcPr>
            <w:tcW w:w="1560"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1.观点正确、中心突出，能密切联系实际；2.论据充分、准确，论证符合推理，分析问题全面、深刻，逻辑性强，层次分明，结构严谨；3.文笔流畅，书写符合格式；4.科学性强，有新意，有自己的见解；具有一定的现实意义或学术价值。</w:t>
            </w:r>
          </w:p>
        </w:tc>
        <w:tc>
          <w:tcPr>
            <w:tcW w:w="1417"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1.观点正确，中心明确，能联系实际；2.能抓住实质问题，分析较为全面中肯，做到有理有据层次分明，结构完整；3.语句通顺，书写符合格式；4.科学性较强，有自己的见解，有一定的现实意义。</w:t>
            </w:r>
          </w:p>
        </w:tc>
        <w:tc>
          <w:tcPr>
            <w:tcW w:w="1559"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1.观点正确，中心较明确，能联系实际；2.分析时基本能用论据说明论点，结构比较完整；3.语句基本通顺，书写基本符合格式。</w:t>
            </w:r>
          </w:p>
        </w:tc>
        <w:tc>
          <w:tcPr>
            <w:tcW w:w="1560"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1.观点基本正确，文章有中心；2.分析时注意用论据说明论点，但欠全面、准确，层次尚清楚；3.书写基本符合格式，但文句有语病。</w:t>
            </w:r>
          </w:p>
        </w:tc>
        <w:tc>
          <w:tcPr>
            <w:tcW w:w="1701"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1.观点违背党和国家的路线、方针和基本政策；2.文章有原则性错误，或基本上没有掌握已学的专业知识、技能；3.文章无中心，主要论据失真或论据、观点、结论不相一致，文字表达能力差；4.文章无中心，逻辑混乱，文字表达能力差，字数少于800字，书写潦草看不明白；5容抄袭他人成果，或由他人代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1" w:hRule="atLeast"/>
          <w:jc w:val="center"/>
        </w:trPr>
        <w:tc>
          <w:tcPr>
            <w:tcW w:w="1696" w:type="dxa"/>
            <w:vAlign w:val="center"/>
          </w:tcPr>
          <w:p>
            <w:pPr>
              <w:pStyle w:val="21"/>
              <w:spacing w:line="240" w:lineRule="auto"/>
              <w:jc w:val="center"/>
              <w:rPr>
                <w:rFonts w:asciiTheme="minorEastAsia" w:hAnsiTheme="minorEastAsia" w:cstheme="minorEastAsia"/>
              </w:rPr>
            </w:pPr>
            <w:r>
              <w:rPr>
                <w:rFonts w:hint="eastAsia" w:asciiTheme="minorEastAsia" w:hAnsiTheme="minorEastAsia" w:cstheme="minorEastAsia"/>
                <w:color w:val="000000"/>
              </w:rPr>
              <w:t>课内实践方式</w:t>
            </w:r>
          </w:p>
        </w:tc>
        <w:tc>
          <w:tcPr>
            <w:tcW w:w="1560"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积极参与实践，深入实际调查研究，形成高质量实践成果，实践报告理论与实践紧密结合，有自己的观点和视角,分析深入，逻辑性强,行文语言流畅,格式规范。</w:t>
            </w:r>
          </w:p>
        </w:tc>
        <w:tc>
          <w:tcPr>
            <w:tcW w:w="1417"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主动参与实际调查，实践成果内涵丰富，实践报告理论与实际结合，有自己的观点，语言较流畅，格式较规范。</w:t>
            </w:r>
          </w:p>
        </w:tc>
        <w:tc>
          <w:tcPr>
            <w:tcW w:w="1559"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能参与实践，实践成果有一定新意，实践报告能结合自己的实践内容撰写，但分析欠深入,文章逻辑性不强，行文语言欠流畅，格式欠规范。</w:t>
            </w:r>
          </w:p>
        </w:tc>
        <w:tc>
          <w:tcPr>
            <w:tcW w:w="1560"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能参与实践，能形成实践成果，但实践报告没有结合自己的实践来开展研究,纯属理论性文章,没有自己的观点。</w:t>
            </w:r>
          </w:p>
        </w:tc>
        <w:tc>
          <w:tcPr>
            <w:tcW w:w="1701"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学生没有参与实践,提交的实践成果和报告明显脱离实践活动的内容，且有明显拼凑或网络下载抄袭痕迹。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696" w:type="dxa"/>
            <w:vAlign w:val="center"/>
          </w:tcPr>
          <w:p>
            <w:pPr>
              <w:pStyle w:val="21"/>
              <w:spacing w:line="240" w:lineRule="auto"/>
              <w:jc w:val="center"/>
              <w:rPr>
                <w:rFonts w:asciiTheme="minorEastAsia" w:hAnsiTheme="minorEastAsia" w:cstheme="minorEastAsia"/>
                <w:color w:val="000000"/>
              </w:rPr>
            </w:pPr>
            <w:r>
              <w:rPr>
                <w:rFonts w:hint="eastAsia" w:asciiTheme="minorEastAsia" w:hAnsiTheme="minorEastAsia" w:cstheme="minorEastAsia"/>
                <w:color w:val="000000"/>
              </w:rPr>
              <w:t>期末考试方式</w:t>
            </w:r>
          </w:p>
        </w:tc>
        <w:tc>
          <w:tcPr>
            <w:tcW w:w="7797" w:type="dxa"/>
            <w:gridSpan w:val="5"/>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详见每学期期末考试“参考答案与评分标准”</w:t>
            </w:r>
          </w:p>
        </w:tc>
      </w:tr>
    </w:tbl>
    <w:p>
      <w:pPr>
        <w:adjustRightInd w:val="0"/>
        <w:snapToGrid w:val="0"/>
        <w:spacing w:line="420" w:lineRule="exact"/>
        <w:jc w:val="left"/>
        <w:rPr>
          <w:rFonts w:ascii="Times New Roman" w:hAnsi="Times New Roman" w:cs="Times New Roman"/>
          <w:sz w:val="24"/>
        </w:rPr>
      </w:pPr>
    </w:p>
    <w:p>
      <w:pPr>
        <w:widowControl/>
        <w:jc w:val="left"/>
        <w:rPr>
          <w:rFonts w:hint="eastAsia" w:asciiTheme="minorEastAsia" w:hAnsiTheme="minorEastAsia" w:cstheme="minorEastAsia"/>
          <w:sz w:val="24"/>
        </w:rPr>
      </w:pPr>
    </w:p>
    <w:p>
      <w:pPr>
        <w:widowControl/>
        <w:jc w:val="left"/>
        <w:rPr>
          <w:rFonts w:asciiTheme="minorEastAsia" w:hAnsiTheme="minorEastAsia" w:cstheme="minorEastAsia"/>
          <w:sz w:val="24"/>
        </w:rPr>
      </w:pPr>
    </w:p>
    <w:sectPr>
      <w:headerReference r:id="rId3" w:type="default"/>
      <w:footerReference r:id="rId4" w:type="default"/>
      <w:pgSz w:w="11906" w:h="16838"/>
      <w:pgMar w:top="1440" w:right="1797" w:bottom="1440" w:left="179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宋体e眠副浡渀.">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4230" w:firstLineChars="2350"/>
    </w:pPr>
    <w:r>
      <w:fldChar w:fldCharType="begin"/>
    </w:r>
    <w:r>
      <w:rPr>
        <w:rStyle w:val="14"/>
      </w:rPr>
      <w:instrText xml:space="preserve"> PAGE </w:instrText>
    </w:r>
    <w:r>
      <w:fldChar w:fldCharType="separate"/>
    </w:r>
    <w:r>
      <w:rPr>
        <w:rStyle w:val="14"/>
      </w:rPr>
      <w:t>12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CB3572"/>
    <w:multiLevelType w:val="singleLevel"/>
    <w:tmpl w:val="B7CB3572"/>
    <w:lvl w:ilvl="0" w:tentative="0">
      <w:start w:val="1"/>
      <w:numFmt w:val="decimal"/>
      <w:lvlText w:val="%1."/>
      <w:lvlJc w:val="left"/>
      <w:pPr>
        <w:tabs>
          <w:tab w:val="left" w:pos="312"/>
        </w:tabs>
      </w:pPr>
    </w:lvl>
  </w:abstractNum>
  <w:abstractNum w:abstractNumId="1">
    <w:nsid w:val="DB2E0DAD"/>
    <w:multiLevelType w:val="singleLevel"/>
    <w:tmpl w:val="DB2E0DAD"/>
    <w:lvl w:ilvl="0" w:tentative="0">
      <w:start w:val="1"/>
      <w:numFmt w:val="decimal"/>
      <w:lvlText w:val="%1."/>
      <w:lvlJc w:val="left"/>
      <w:pPr>
        <w:tabs>
          <w:tab w:val="left" w:pos="312"/>
        </w:tabs>
      </w:pPr>
    </w:lvl>
  </w:abstractNum>
  <w:abstractNum w:abstractNumId="2">
    <w:nsid w:val="DD186D73"/>
    <w:multiLevelType w:val="singleLevel"/>
    <w:tmpl w:val="DD186D73"/>
    <w:lvl w:ilvl="0" w:tentative="0">
      <w:start w:val="1"/>
      <w:numFmt w:val="decimal"/>
      <w:lvlText w:val="%1."/>
      <w:lvlJc w:val="left"/>
      <w:pPr>
        <w:tabs>
          <w:tab w:val="left" w:pos="312"/>
        </w:tabs>
      </w:pPr>
    </w:lvl>
  </w:abstractNum>
  <w:abstractNum w:abstractNumId="3">
    <w:nsid w:val="0DA935A2"/>
    <w:multiLevelType w:val="singleLevel"/>
    <w:tmpl w:val="0DA935A2"/>
    <w:lvl w:ilvl="0" w:tentative="0">
      <w:start w:val="1"/>
      <w:numFmt w:val="decimal"/>
      <w:lvlText w:val="%1."/>
      <w:lvlJc w:val="left"/>
      <w:pPr>
        <w:tabs>
          <w:tab w:val="left" w:pos="312"/>
        </w:tabs>
      </w:pPr>
    </w:lvl>
  </w:abstractNum>
  <w:abstractNum w:abstractNumId="4">
    <w:nsid w:val="0DDEA964"/>
    <w:multiLevelType w:val="singleLevel"/>
    <w:tmpl w:val="0DDEA964"/>
    <w:lvl w:ilvl="0" w:tentative="0">
      <w:start w:val="2"/>
      <w:numFmt w:val="chineseCounting"/>
      <w:suff w:val="nothing"/>
      <w:lvlText w:val="（%1）"/>
      <w:lvlJc w:val="left"/>
      <w:rPr>
        <w:rFonts w:hint="eastAsia"/>
      </w:rPr>
    </w:lvl>
  </w:abstractNum>
  <w:abstractNum w:abstractNumId="5">
    <w:nsid w:val="4C936F19"/>
    <w:multiLevelType w:val="singleLevel"/>
    <w:tmpl w:val="4C936F19"/>
    <w:lvl w:ilvl="0" w:tentative="0">
      <w:start w:val="1"/>
      <w:numFmt w:val="decimal"/>
      <w:lvlText w:val="%1."/>
      <w:lvlJc w:val="left"/>
      <w:pPr>
        <w:tabs>
          <w:tab w:val="left" w:pos="312"/>
        </w:tabs>
      </w:pPr>
    </w:lvl>
  </w:abstractNum>
  <w:abstractNum w:abstractNumId="6">
    <w:nsid w:val="4E2AF37C"/>
    <w:multiLevelType w:val="singleLevel"/>
    <w:tmpl w:val="4E2AF37C"/>
    <w:lvl w:ilvl="0" w:tentative="0">
      <w:start w:val="2"/>
      <w:numFmt w:val="chineseCounting"/>
      <w:suff w:val="nothing"/>
      <w:lvlText w:val="（%1）"/>
      <w:lvlJc w:val="left"/>
      <w:rPr>
        <w:rFonts w:hint="eastAsia"/>
      </w:rPr>
    </w:lvl>
  </w:abstractNum>
  <w:num w:numId="1">
    <w:abstractNumId w:val="2"/>
  </w:num>
  <w:num w:numId="2">
    <w:abstractNumId w:val="3"/>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trackRevisions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c3Mjg2YTIxN2EwMGUxZDFkNWRmYzM2NzY2ODI4NDIifQ=="/>
  </w:docVars>
  <w:rsids>
    <w:rsidRoot w:val="5CC60D83"/>
    <w:rsid w:val="000322F0"/>
    <w:rsid w:val="00072B62"/>
    <w:rsid w:val="0007453A"/>
    <w:rsid w:val="000B4D68"/>
    <w:rsid w:val="000B54DC"/>
    <w:rsid w:val="000C596F"/>
    <w:rsid w:val="000D30A4"/>
    <w:rsid w:val="00115C37"/>
    <w:rsid w:val="00117FAE"/>
    <w:rsid w:val="001C56C2"/>
    <w:rsid w:val="001E5EB2"/>
    <w:rsid w:val="0020318E"/>
    <w:rsid w:val="00213D7A"/>
    <w:rsid w:val="0026253C"/>
    <w:rsid w:val="002C041A"/>
    <w:rsid w:val="00330FB9"/>
    <w:rsid w:val="004346D2"/>
    <w:rsid w:val="0044061F"/>
    <w:rsid w:val="004E4A22"/>
    <w:rsid w:val="00634704"/>
    <w:rsid w:val="00681FFB"/>
    <w:rsid w:val="00701656"/>
    <w:rsid w:val="00711A4A"/>
    <w:rsid w:val="00712E46"/>
    <w:rsid w:val="007172F6"/>
    <w:rsid w:val="00717446"/>
    <w:rsid w:val="00720F25"/>
    <w:rsid w:val="007C4C06"/>
    <w:rsid w:val="007E6848"/>
    <w:rsid w:val="00820765"/>
    <w:rsid w:val="00824E5F"/>
    <w:rsid w:val="00836FB1"/>
    <w:rsid w:val="008406AF"/>
    <w:rsid w:val="00871680"/>
    <w:rsid w:val="008E4BB1"/>
    <w:rsid w:val="00923E0F"/>
    <w:rsid w:val="00962970"/>
    <w:rsid w:val="00987FF2"/>
    <w:rsid w:val="00A05071"/>
    <w:rsid w:val="00A06DD1"/>
    <w:rsid w:val="00A649D4"/>
    <w:rsid w:val="00AA6855"/>
    <w:rsid w:val="00AF6106"/>
    <w:rsid w:val="00B914D1"/>
    <w:rsid w:val="00BA1A6E"/>
    <w:rsid w:val="00C031F9"/>
    <w:rsid w:val="00C03C49"/>
    <w:rsid w:val="00C05381"/>
    <w:rsid w:val="00C10C15"/>
    <w:rsid w:val="00C16347"/>
    <w:rsid w:val="00C71A86"/>
    <w:rsid w:val="00C864C1"/>
    <w:rsid w:val="00D2780A"/>
    <w:rsid w:val="00D671F5"/>
    <w:rsid w:val="00D77364"/>
    <w:rsid w:val="00DA3599"/>
    <w:rsid w:val="00DA5D86"/>
    <w:rsid w:val="00E324B3"/>
    <w:rsid w:val="00E34D23"/>
    <w:rsid w:val="00E7764B"/>
    <w:rsid w:val="00E864B5"/>
    <w:rsid w:val="00E8673E"/>
    <w:rsid w:val="00E97416"/>
    <w:rsid w:val="00EB632C"/>
    <w:rsid w:val="00F05F9D"/>
    <w:rsid w:val="00F921E1"/>
    <w:rsid w:val="00FD6BF4"/>
    <w:rsid w:val="0128726C"/>
    <w:rsid w:val="01455517"/>
    <w:rsid w:val="02396AC0"/>
    <w:rsid w:val="039B70CE"/>
    <w:rsid w:val="03C32DC2"/>
    <w:rsid w:val="05E7587A"/>
    <w:rsid w:val="07F4622A"/>
    <w:rsid w:val="09423E1E"/>
    <w:rsid w:val="09BF299F"/>
    <w:rsid w:val="0A236460"/>
    <w:rsid w:val="0B097E79"/>
    <w:rsid w:val="0BC56611"/>
    <w:rsid w:val="0CD116D2"/>
    <w:rsid w:val="0DCD67C3"/>
    <w:rsid w:val="0EDA6925"/>
    <w:rsid w:val="0F922871"/>
    <w:rsid w:val="105B4CED"/>
    <w:rsid w:val="10D10E58"/>
    <w:rsid w:val="13087403"/>
    <w:rsid w:val="154723D6"/>
    <w:rsid w:val="161F443F"/>
    <w:rsid w:val="1797148B"/>
    <w:rsid w:val="18AC6143"/>
    <w:rsid w:val="18B9414E"/>
    <w:rsid w:val="1988154C"/>
    <w:rsid w:val="1B2236A7"/>
    <w:rsid w:val="1B990DDA"/>
    <w:rsid w:val="1D8B14C4"/>
    <w:rsid w:val="1F07715A"/>
    <w:rsid w:val="1F80575B"/>
    <w:rsid w:val="1F812C2C"/>
    <w:rsid w:val="215C617A"/>
    <w:rsid w:val="23332584"/>
    <w:rsid w:val="23645769"/>
    <w:rsid w:val="242D402C"/>
    <w:rsid w:val="246B0A28"/>
    <w:rsid w:val="249328AA"/>
    <w:rsid w:val="25277FFF"/>
    <w:rsid w:val="280A5BDE"/>
    <w:rsid w:val="29165FDB"/>
    <w:rsid w:val="299E720E"/>
    <w:rsid w:val="2DB62176"/>
    <w:rsid w:val="2FF86D92"/>
    <w:rsid w:val="33D44726"/>
    <w:rsid w:val="34A3416B"/>
    <w:rsid w:val="35DA662E"/>
    <w:rsid w:val="361202EE"/>
    <w:rsid w:val="37322E6D"/>
    <w:rsid w:val="391A585C"/>
    <w:rsid w:val="3A712F99"/>
    <w:rsid w:val="3AFA4E9F"/>
    <w:rsid w:val="3CA92F71"/>
    <w:rsid w:val="3CEF63B7"/>
    <w:rsid w:val="3FE63BF8"/>
    <w:rsid w:val="4007520C"/>
    <w:rsid w:val="42D60AD1"/>
    <w:rsid w:val="42F644C7"/>
    <w:rsid w:val="43EF3A9B"/>
    <w:rsid w:val="4501089D"/>
    <w:rsid w:val="45A7005E"/>
    <w:rsid w:val="4B6035E0"/>
    <w:rsid w:val="4BC33729"/>
    <w:rsid w:val="4D5A24EC"/>
    <w:rsid w:val="4E3F7CFB"/>
    <w:rsid w:val="51F82E8F"/>
    <w:rsid w:val="53791FFD"/>
    <w:rsid w:val="53827B6D"/>
    <w:rsid w:val="53A1580A"/>
    <w:rsid w:val="53F67C7F"/>
    <w:rsid w:val="5451635E"/>
    <w:rsid w:val="5539380D"/>
    <w:rsid w:val="5880289E"/>
    <w:rsid w:val="58CC114E"/>
    <w:rsid w:val="5C1C7A53"/>
    <w:rsid w:val="5C8A2E06"/>
    <w:rsid w:val="5CC60D83"/>
    <w:rsid w:val="5CE25936"/>
    <w:rsid w:val="60F54F3A"/>
    <w:rsid w:val="614C0CAD"/>
    <w:rsid w:val="645234E0"/>
    <w:rsid w:val="64CD4D26"/>
    <w:rsid w:val="653C198B"/>
    <w:rsid w:val="65FA3919"/>
    <w:rsid w:val="662E6B2A"/>
    <w:rsid w:val="66782724"/>
    <w:rsid w:val="6688492C"/>
    <w:rsid w:val="66D31333"/>
    <w:rsid w:val="67BF7F6B"/>
    <w:rsid w:val="67F13186"/>
    <w:rsid w:val="690C6540"/>
    <w:rsid w:val="69780CB9"/>
    <w:rsid w:val="6A251427"/>
    <w:rsid w:val="6C8E317A"/>
    <w:rsid w:val="6D535020"/>
    <w:rsid w:val="6E70685C"/>
    <w:rsid w:val="70DB5ADD"/>
    <w:rsid w:val="714351B4"/>
    <w:rsid w:val="71C7217D"/>
    <w:rsid w:val="72956DEB"/>
    <w:rsid w:val="72A51B00"/>
    <w:rsid w:val="73DC55A7"/>
    <w:rsid w:val="75724633"/>
    <w:rsid w:val="75CA10EA"/>
    <w:rsid w:val="76600C48"/>
    <w:rsid w:val="767A3697"/>
    <w:rsid w:val="790725BF"/>
    <w:rsid w:val="7ADC5CAA"/>
    <w:rsid w:val="7AF91C30"/>
    <w:rsid w:val="7B7F15D8"/>
    <w:rsid w:val="7D711319"/>
    <w:rsid w:val="7E4A1D0E"/>
    <w:rsid w:val="7EBD2A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widowControl/>
      <w:ind w:firstLine="420" w:firstLineChars="200"/>
      <w:jc w:val="left"/>
    </w:pPr>
    <w:rPr>
      <w:rFonts w:ascii="Times New Roman" w:hAnsi="Times New Roman"/>
    </w:rPr>
  </w:style>
  <w:style w:type="paragraph" w:styleId="3">
    <w:name w:val="annotation text"/>
    <w:basedOn w:val="1"/>
    <w:link w:val="28"/>
    <w:qFormat/>
    <w:uiPriority w:val="0"/>
    <w:pPr>
      <w:jc w:val="left"/>
    </w:pPr>
  </w:style>
  <w:style w:type="paragraph" w:styleId="4">
    <w:name w:val="Body Text"/>
    <w:basedOn w:val="1"/>
    <w:link w:val="31"/>
    <w:qFormat/>
    <w:uiPriority w:val="0"/>
    <w:pPr>
      <w:autoSpaceDE w:val="0"/>
      <w:autoSpaceDN w:val="0"/>
      <w:adjustRightInd w:val="0"/>
      <w:ind w:left="20"/>
      <w:jc w:val="left"/>
    </w:pPr>
    <w:rPr>
      <w:rFonts w:hint="eastAsia" w:ascii="仿宋" w:hAnsi="Times New Roman" w:eastAsia="仿宋" w:cs="Times New Roman"/>
      <w:kern w:val="0"/>
      <w:sz w:val="32"/>
      <w:szCs w:val="32"/>
    </w:rPr>
  </w:style>
  <w:style w:type="paragraph" w:styleId="5">
    <w:name w:val="Balloon Text"/>
    <w:basedOn w:val="1"/>
    <w:link w:val="26"/>
    <w:qFormat/>
    <w:uiPriority w:val="0"/>
    <w:rPr>
      <w:sz w:val="18"/>
      <w:szCs w:val="18"/>
    </w:rPr>
  </w:style>
  <w:style w:type="paragraph" w:styleId="6">
    <w:name w:val="footer"/>
    <w:basedOn w:val="1"/>
    <w:link w:val="29"/>
    <w:unhideWhenUsed/>
    <w:qFormat/>
    <w:uiPriority w:val="0"/>
    <w:pPr>
      <w:tabs>
        <w:tab w:val="center" w:pos="4153"/>
        <w:tab w:val="right" w:pos="8306"/>
      </w:tabs>
      <w:snapToGrid w:val="0"/>
      <w:jc w:val="left"/>
    </w:pPr>
    <w:rPr>
      <w:sz w:val="18"/>
      <w:szCs w:val="18"/>
    </w:rPr>
  </w:style>
  <w:style w:type="paragraph" w:styleId="7">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styleId="10">
    <w:name w:val="annotation subject"/>
    <w:basedOn w:val="3"/>
    <w:next w:val="3"/>
    <w:link w:val="27"/>
    <w:qFormat/>
    <w:uiPriority w:val="0"/>
    <w:rPr>
      <w:b/>
    </w:rPr>
  </w:style>
  <w:style w:type="table" w:styleId="12">
    <w:name w:val="Table Grid"/>
    <w:basedOn w:val="11"/>
    <w:qFormat/>
    <w:uiPriority w:val="0"/>
    <w:pPr>
      <w:spacing w:after="160" w:line="256" w:lineRule="auto"/>
    </w:pPr>
    <w:rPr>
      <w:rFonts w:eastAsia="Times New Roman"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4">
    <w:name w:val="page number"/>
    <w:basedOn w:val="13"/>
    <w:qFormat/>
    <w:uiPriority w:val="99"/>
  </w:style>
  <w:style w:type="character" w:styleId="15">
    <w:name w:val="FollowedHyperlink"/>
    <w:basedOn w:val="13"/>
    <w:qFormat/>
    <w:uiPriority w:val="0"/>
    <w:rPr>
      <w:color w:val="800080"/>
      <w:u w:val="none"/>
    </w:rPr>
  </w:style>
  <w:style w:type="character" w:styleId="16">
    <w:name w:val="Hyperlink"/>
    <w:basedOn w:val="13"/>
    <w:qFormat/>
    <w:uiPriority w:val="0"/>
    <w:rPr>
      <w:color w:val="0000FF"/>
      <w:u w:val="none"/>
    </w:rPr>
  </w:style>
  <w:style w:type="character" w:styleId="17">
    <w:name w:val="annotation reference"/>
    <w:basedOn w:val="13"/>
    <w:qFormat/>
    <w:uiPriority w:val="0"/>
    <w:rPr>
      <w:sz w:val="21"/>
      <w:szCs w:val="21"/>
    </w:rPr>
  </w:style>
  <w:style w:type="paragraph" w:customStyle="1" w:styleId="18">
    <w:name w:val="Default"/>
    <w:link w:val="25"/>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9">
    <w:name w:val="图表居中"/>
    <w:next w:val="1"/>
    <w:qFormat/>
    <w:uiPriority w:val="0"/>
    <w:pPr>
      <w:spacing w:line="240" w:lineRule="atLeast"/>
      <w:jc w:val="center"/>
    </w:pPr>
    <w:rPr>
      <w:rFonts w:ascii="Times New Roman" w:hAnsi="Times New Roman" w:eastAsia="楷体_GB2312" w:cs="Times New Roman"/>
      <w:kern w:val="2"/>
      <w:sz w:val="21"/>
      <w:szCs w:val="21"/>
      <w:lang w:val="en-US" w:eastAsia="zh-CN" w:bidi="ar-SA"/>
    </w:rPr>
  </w:style>
  <w:style w:type="paragraph" w:customStyle="1" w:styleId="20">
    <w:name w:val="！表格首行"/>
    <w:basedOn w:val="1"/>
    <w:qFormat/>
    <w:uiPriority w:val="99"/>
    <w:pPr>
      <w:jc w:val="center"/>
    </w:pPr>
    <w:rPr>
      <w:rFonts w:ascii="宋体" w:hAnsi="宋体"/>
      <w:b/>
      <w:kern w:val="0"/>
      <w:sz w:val="20"/>
      <w:szCs w:val="20"/>
    </w:rPr>
  </w:style>
  <w:style w:type="paragraph" w:customStyle="1" w:styleId="21">
    <w:name w:val="！表格正文"/>
    <w:basedOn w:val="1"/>
    <w:qFormat/>
    <w:uiPriority w:val="99"/>
    <w:pPr>
      <w:spacing w:line="288" w:lineRule="auto"/>
      <w:jc w:val="left"/>
    </w:pPr>
    <w:rPr>
      <w:rFonts w:ascii="宋体" w:hAnsi="宋体"/>
      <w:szCs w:val="21"/>
    </w:rPr>
  </w:style>
  <w:style w:type="paragraph" w:customStyle="1" w:styleId="22">
    <w:name w:val="2大标题"/>
    <w:basedOn w:val="18"/>
    <w:qFormat/>
    <w:uiPriority w:val="0"/>
    <w:pPr>
      <w:spacing w:beforeLines="50" w:afterLines="50" w:line="360" w:lineRule="auto"/>
    </w:pPr>
  </w:style>
  <w:style w:type="paragraph" w:customStyle="1" w:styleId="23">
    <w:name w:val="3小标题"/>
    <w:basedOn w:val="18"/>
    <w:link w:val="24"/>
    <w:qFormat/>
    <w:uiPriority w:val="0"/>
    <w:pPr>
      <w:spacing w:line="360" w:lineRule="auto"/>
      <w:ind w:firstLine="482" w:firstLineChars="200"/>
    </w:pPr>
    <w:rPr>
      <w:rFonts w:ascii="宋体" w:hAnsi="宋体" w:eastAsia="宋体"/>
      <w:b/>
      <w:bCs/>
    </w:rPr>
  </w:style>
  <w:style w:type="character" w:customStyle="1" w:styleId="24">
    <w:name w:val="3小标题 Char"/>
    <w:basedOn w:val="25"/>
    <w:link w:val="23"/>
    <w:qFormat/>
    <w:locked/>
    <w:uiPriority w:val="0"/>
    <w:rPr>
      <w:rFonts w:ascii="宋体" w:hAnsi="宋体" w:eastAsia="宋体" w:cs="黑体"/>
      <w:b/>
      <w:bCs/>
      <w:color w:val="000000"/>
      <w:sz w:val="24"/>
      <w:szCs w:val="24"/>
      <w:lang w:val="en-US" w:eastAsia="zh-CN" w:bidi="ar-SA"/>
    </w:rPr>
  </w:style>
  <w:style w:type="character" w:customStyle="1" w:styleId="25">
    <w:name w:val="Default Char"/>
    <w:basedOn w:val="13"/>
    <w:link w:val="18"/>
    <w:qFormat/>
    <w:locked/>
    <w:uiPriority w:val="0"/>
    <w:rPr>
      <w:rFonts w:ascii="黑体" w:hAnsi="Calibri" w:eastAsia="黑体" w:cs="黑体"/>
      <w:color w:val="000000"/>
      <w:sz w:val="24"/>
      <w:szCs w:val="24"/>
      <w:lang w:val="en-US" w:eastAsia="zh-CN" w:bidi="ar-SA"/>
    </w:rPr>
  </w:style>
  <w:style w:type="character" w:customStyle="1" w:styleId="26">
    <w:name w:val="批注框文本 Char"/>
    <w:basedOn w:val="13"/>
    <w:link w:val="5"/>
    <w:qFormat/>
    <w:uiPriority w:val="0"/>
    <w:rPr>
      <w:rFonts w:asciiTheme="minorHAnsi" w:hAnsiTheme="minorHAnsi" w:eastAsiaTheme="minorEastAsia" w:cstheme="minorBidi"/>
      <w:kern w:val="2"/>
      <w:sz w:val="18"/>
      <w:szCs w:val="18"/>
    </w:rPr>
  </w:style>
  <w:style w:type="character" w:customStyle="1" w:styleId="27">
    <w:name w:val="批注主题 Char"/>
    <w:basedOn w:val="28"/>
    <w:link w:val="10"/>
    <w:qFormat/>
    <w:uiPriority w:val="0"/>
    <w:rPr>
      <w:b/>
      <w:kern w:val="2"/>
      <w:sz w:val="21"/>
      <w:szCs w:val="22"/>
    </w:rPr>
  </w:style>
  <w:style w:type="character" w:customStyle="1" w:styleId="28">
    <w:name w:val="批注文字 Char"/>
    <w:basedOn w:val="13"/>
    <w:link w:val="3"/>
    <w:qFormat/>
    <w:uiPriority w:val="0"/>
    <w:rPr>
      <w:kern w:val="2"/>
      <w:sz w:val="21"/>
      <w:szCs w:val="22"/>
    </w:rPr>
  </w:style>
  <w:style w:type="character" w:customStyle="1" w:styleId="29">
    <w:name w:val="页脚 Char"/>
    <w:basedOn w:val="13"/>
    <w:link w:val="6"/>
    <w:qFormat/>
    <w:uiPriority w:val="0"/>
    <w:rPr>
      <w:rFonts w:ascii="等线" w:hAnsi="等线" w:eastAsia="等线" w:cs="Times New Roman"/>
      <w:kern w:val="2"/>
      <w:sz w:val="18"/>
      <w:szCs w:val="18"/>
    </w:rPr>
  </w:style>
  <w:style w:type="character" w:customStyle="1" w:styleId="30">
    <w:name w:val="页眉 Char"/>
    <w:basedOn w:val="13"/>
    <w:link w:val="7"/>
    <w:qFormat/>
    <w:uiPriority w:val="0"/>
    <w:rPr>
      <w:rFonts w:hint="default" w:ascii="等线" w:hAnsi="等线" w:eastAsia="等线" w:cs="Times New Roman"/>
      <w:kern w:val="2"/>
      <w:sz w:val="18"/>
      <w:szCs w:val="18"/>
    </w:rPr>
  </w:style>
  <w:style w:type="character" w:customStyle="1" w:styleId="31">
    <w:name w:val="正文文本 Char"/>
    <w:basedOn w:val="13"/>
    <w:link w:val="4"/>
    <w:qFormat/>
    <w:uiPriority w:val="0"/>
    <w:rPr>
      <w:rFonts w:hint="eastAsia" w:ascii="仿宋" w:hAnsi="Times New Roman" w:eastAsia="仿宋" w:cs="仿宋"/>
      <w:sz w:val="32"/>
      <w:szCs w:val="32"/>
    </w:rPr>
  </w:style>
  <w:style w:type="paragraph" w:customStyle="1" w:styleId="32">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3">
    <w:name w:val="pt91"/>
    <w:basedOn w:val="13"/>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微软中国</Company>
  <Pages>14</Pages>
  <Words>1608</Words>
  <Characters>9166</Characters>
  <Lines>76</Lines>
  <Paragraphs>21</Paragraphs>
  <TotalTime>79</TotalTime>
  <ScaleCrop>false</ScaleCrop>
  <LinksUpToDate>false</LinksUpToDate>
  <CharactersWithSpaces>10753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2024-05-20T16:14:00Z</dcterms:created>
  <dc:creator>Irene</dc:creator>
  <cp:lastModifiedBy>希望</cp:lastModifiedBy>
  <cp:lastPrinted>2024-05-23T01:14:55Z</cp:lastPrinted>
  <dcterms:modified xsi:type="dcterms:W3CDTF">2024-05-23T01:15:16Z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RubyTemplateID" linkTarget="0">
    <vt:lpwstr>6</vt:lpwstr>
  </property>
  <property fmtid="{D5CDD505-2E9C-101B-9397-08002B2CF9AE}" pid="4" name="ICV">
    <vt:lpwstr>20D6A12C031B44A08803CA41FFA65FEB_13</vt:lpwstr>
  </property>
</Properties>
</file>